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45CC" w14:textId="357B2E95" w:rsidR="00274469" w:rsidRPr="00B66C85" w:rsidRDefault="003A05A7" w:rsidP="0083434E">
      <w:pPr>
        <w:pStyle w:val="Heading1"/>
        <w:pBdr>
          <w:bottom w:val="single" w:sz="4" w:space="1" w:color="auto"/>
        </w:pBdr>
        <w:rPr>
          <w:color w:val="2E74B5" w:themeColor="accent1" w:themeShade="BF"/>
        </w:rPr>
      </w:pPr>
      <w:r>
        <w:t>Introduction</w:t>
      </w:r>
    </w:p>
    <w:p w14:paraId="24387F0C" w14:textId="428A6237" w:rsidR="00274469" w:rsidRPr="00D7064B" w:rsidRDefault="00274469" w:rsidP="00274469">
      <w:r w:rsidRPr="00D7064B">
        <w:t xml:space="preserve">A recent U.S. Government Accountability Office (2017) </w:t>
      </w:r>
      <w:r w:rsidR="00385796" w:rsidRPr="00D7064B">
        <w:t xml:space="preserve">report, </w:t>
      </w:r>
      <w:hyperlink r:id="rId8" w:history="1">
        <w:r w:rsidR="00385796" w:rsidRPr="00D7064B">
          <w:rPr>
            <w:rStyle w:val="Hyperlink"/>
          </w:rPr>
          <w:t>Higher Education: Students Need More Information to Help Reduce Challenges in Transferring College Credits</w:t>
        </w:r>
      </w:hyperlink>
      <w:r w:rsidR="00385796" w:rsidRPr="00D7064B">
        <w:t xml:space="preserve">, </w:t>
      </w:r>
      <w:r w:rsidRPr="00D7064B">
        <w:t xml:space="preserve">found students lost an estimated 43 percent of their credits on average upon transferring. Awarding general, elective, or “transfer” credit </w:t>
      </w:r>
      <w:r w:rsidR="004970BB" w:rsidRPr="00D7064B">
        <w:t xml:space="preserve">rather than determining a </w:t>
      </w:r>
      <w:r w:rsidR="008D6083" w:rsidRPr="00D7064B">
        <w:t xml:space="preserve">direct </w:t>
      </w:r>
      <w:r w:rsidR="004970BB" w:rsidRPr="00D7064B">
        <w:t xml:space="preserve">course equivalency </w:t>
      </w:r>
      <w:r w:rsidRPr="00D7064B">
        <w:t xml:space="preserve">often </w:t>
      </w:r>
      <w:r w:rsidR="004970BB" w:rsidRPr="00D7064B">
        <w:t>leaves students with</w:t>
      </w:r>
      <w:r w:rsidRPr="00D7064B">
        <w:t xml:space="preserve"> “excess” credit</w:t>
      </w:r>
      <w:r w:rsidR="00660206" w:rsidRPr="00D7064B">
        <w:t xml:space="preserve"> that does</w:t>
      </w:r>
      <w:r w:rsidR="00BC3839" w:rsidRPr="00D7064B">
        <w:t xml:space="preserve"> no</w:t>
      </w:r>
      <w:r w:rsidR="00660206" w:rsidRPr="00D7064B">
        <w:t>t apply to the degree</w:t>
      </w:r>
      <w:r w:rsidR="00751E8B" w:rsidRPr="00D7064B">
        <w:t>, adds to their cost of education, and delays their graduation</w:t>
      </w:r>
      <w:r w:rsidR="00660206" w:rsidRPr="00D7064B">
        <w:t>.</w:t>
      </w:r>
    </w:p>
    <w:p w14:paraId="234D2B4D" w14:textId="77777777" w:rsidR="00660206" w:rsidRPr="00B66C85" w:rsidRDefault="00660206" w:rsidP="00F0602E">
      <w:pPr>
        <w:pStyle w:val="Heading1"/>
        <w:pBdr>
          <w:bottom w:val="single" w:sz="4" w:space="1" w:color="auto"/>
        </w:pBdr>
      </w:pPr>
      <w:r>
        <w:t>Common Transfer Terminology</w:t>
      </w:r>
    </w:p>
    <w:p w14:paraId="6282E523" w14:textId="18802B23" w:rsidR="00660206" w:rsidRPr="00F0602E" w:rsidRDefault="00660206" w:rsidP="00660206">
      <w:pPr>
        <w:pStyle w:val="ListParagraph"/>
        <w:numPr>
          <w:ilvl w:val="0"/>
          <w:numId w:val="25"/>
        </w:numPr>
        <w:ind w:left="360"/>
        <w:rPr>
          <w:rFonts w:eastAsia="Times New Roman"/>
        </w:rPr>
      </w:pPr>
      <w:r w:rsidRPr="00A352D0">
        <w:t>Sending Institution</w:t>
      </w:r>
      <w:r>
        <w:t xml:space="preserve"> is t</w:t>
      </w:r>
      <w:r w:rsidRPr="00A352D0">
        <w:t>he</w:t>
      </w:r>
      <w:r w:rsidR="00FF579D">
        <w:t xml:space="preserve"> initial</w:t>
      </w:r>
      <w:r w:rsidRPr="00A352D0">
        <w:t xml:space="preserve"> institution where </w:t>
      </w:r>
      <w:r>
        <w:t>students enrolled in the course and where</w:t>
      </w:r>
      <w:r w:rsidRPr="00A352D0">
        <w:t xml:space="preserve"> </w:t>
      </w:r>
      <w:r w:rsidR="00F0602E">
        <w:t>the course is completed.</w:t>
      </w:r>
    </w:p>
    <w:p w14:paraId="2A40AC26" w14:textId="1873BB95" w:rsidR="00F0602E" w:rsidRPr="00F0602E" w:rsidRDefault="00660206" w:rsidP="00660206">
      <w:pPr>
        <w:pStyle w:val="ListParagraph"/>
        <w:numPr>
          <w:ilvl w:val="0"/>
          <w:numId w:val="25"/>
        </w:numPr>
        <w:ind w:left="360"/>
        <w:rPr>
          <w:rFonts w:eastAsia="Times New Roman"/>
        </w:rPr>
      </w:pPr>
      <w:r w:rsidRPr="00A352D0">
        <w:t>Receiving</w:t>
      </w:r>
      <w:r w:rsidR="00FF579D">
        <w:t>, or Transferring,</w:t>
      </w:r>
      <w:r w:rsidRPr="00A352D0">
        <w:t xml:space="preserve"> Institution</w:t>
      </w:r>
      <w:r w:rsidR="008D6083">
        <w:t xml:space="preserve">, </w:t>
      </w:r>
      <w:r w:rsidR="00533C15">
        <w:t xml:space="preserve">is the </w:t>
      </w:r>
      <w:r w:rsidRPr="00A352D0">
        <w:t xml:space="preserve">institution </w:t>
      </w:r>
      <w:r w:rsidR="00FF579D">
        <w:t>to which</w:t>
      </w:r>
      <w:r w:rsidR="00FF579D" w:rsidRPr="00A352D0">
        <w:t xml:space="preserve"> </w:t>
      </w:r>
      <w:r w:rsidRPr="00A352D0">
        <w:t>the</w:t>
      </w:r>
      <w:r w:rsidR="00F0602E">
        <w:t xml:space="preserve"> student is transferring the credit.</w:t>
      </w:r>
    </w:p>
    <w:p w14:paraId="529D6A72" w14:textId="2C548779" w:rsidR="00660206" w:rsidRPr="00A352D0" w:rsidRDefault="008D6083" w:rsidP="00660206">
      <w:pPr>
        <w:pStyle w:val="ListParagraph"/>
        <w:numPr>
          <w:ilvl w:val="0"/>
          <w:numId w:val="25"/>
        </w:numPr>
        <w:ind w:left="360"/>
        <w:rPr>
          <w:rFonts w:eastAsia="Times New Roman"/>
        </w:rPr>
      </w:pPr>
      <w:r>
        <w:t>A direct equivalency</w:t>
      </w:r>
      <w:r w:rsidR="00506B1A">
        <w:t xml:space="preserve"> </w:t>
      </w:r>
      <w:r w:rsidR="001C0380">
        <w:t>occurs</w:t>
      </w:r>
      <w:r>
        <w:t xml:space="preserve"> when courses</w:t>
      </w:r>
      <w:r w:rsidR="00506B1A">
        <w:t xml:space="preserve"> </w:t>
      </w:r>
      <w:r w:rsidR="00F0602E">
        <w:t>a</w:t>
      </w:r>
      <w:r w:rsidR="00660206" w:rsidRPr="00A352D0">
        <w:t>rticulate as Subject/Number from sending institution to Subject/Number at receiving institution</w:t>
      </w:r>
      <w:r w:rsidR="00F0602E">
        <w:t xml:space="preserve"> (</w:t>
      </w:r>
      <w:r w:rsidR="00660206" w:rsidRPr="00A352D0">
        <w:t>i.e.  SOC 101 = SOCL 115</w:t>
      </w:r>
      <w:r w:rsidR="00F0602E">
        <w:t>)</w:t>
      </w:r>
      <w:r w:rsidR="00660206" w:rsidRPr="00A352D0">
        <w:t xml:space="preserve">.  </w:t>
      </w:r>
      <w:r w:rsidR="00533C15" w:rsidRPr="00A352D0">
        <w:t xml:space="preserve">Direct equivalencies provide clarity to students and advisors because they can clearly see how </w:t>
      </w:r>
      <w:r>
        <w:t>transfer courses</w:t>
      </w:r>
      <w:r w:rsidR="00533C15" w:rsidRPr="00A352D0">
        <w:t xml:space="preserve"> </w:t>
      </w:r>
      <w:r w:rsidR="00533C15" w:rsidRPr="00533C15">
        <w:t>appl</w:t>
      </w:r>
      <w:r>
        <w:t>y</w:t>
      </w:r>
      <w:r w:rsidR="00533C15" w:rsidRPr="00A352D0">
        <w:t xml:space="preserve"> to program requirements</w:t>
      </w:r>
      <w:proofErr w:type="gramStart"/>
      <w:r w:rsidR="00533C15" w:rsidRPr="00A352D0">
        <w:t>.</w:t>
      </w:r>
      <w:r w:rsidR="00D7064B">
        <w:t xml:space="preserve"> </w:t>
      </w:r>
      <w:proofErr w:type="gramEnd"/>
      <w:r w:rsidR="00D7064B" w:rsidRPr="00A352D0">
        <w:t xml:space="preserve">Direct </w:t>
      </w:r>
      <w:r w:rsidR="00D7064B">
        <w:t>equivalencies are</w:t>
      </w:r>
      <w:r w:rsidR="00D7064B" w:rsidRPr="00A352D0">
        <w:t xml:space="preserve"> preferred when the course is intended to apply to program requirements. </w:t>
      </w:r>
    </w:p>
    <w:p w14:paraId="6B3A37DE" w14:textId="3E4A988E" w:rsidR="005647E1" w:rsidRPr="00F54300" w:rsidRDefault="005647E1" w:rsidP="005647E1">
      <w:pPr>
        <w:pStyle w:val="ListParagraph"/>
        <w:numPr>
          <w:ilvl w:val="0"/>
          <w:numId w:val="25"/>
        </w:numPr>
        <w:ind w:left="360"/>
        <w:rPr>
          <w:i/>
        </w:rPr>
      </w:pPr>
      <w:r w:rsidRPr="00A352D0">
        <w:t>There are reasons why a course cannot be a direct equivalent</w:t>
      </w:r>
      <w:r>
        <w:t>, most notably when no such course exists at the receiving institution.  In this case, clear information about how the course applies to the degree program is helpful.</w:t>
      </w:r>
    </w:p>
    <w:p w14:paraId="7C09857B" w14:textId="017D9050" w:rsidR="00660206" w:rsidRPr="00533C15" w:rsidRDefault="00660206" w:rsidP="00533C15">
      <w:pPr>
        <w:pStyle w:val="ListParagraph"/>
        <w:numPr>
          <w:ilvl w:val="0"/>
          <w:numId w:val="25"/>
        </w:numPr>
        <w:ind w:left="360"/>
        <w:rPr>
          <w:rFonts w:eastAsia="Times New Roman"/>
        </w:rPr>
      </w:pPr>
      <w:r w:rsidRPr="00A352D0">
        <w:t>General, Elective, Departmental Credit</w:t>
      </w:r>
      <w:r w:rsidR="00506B1A">
        <w:t xml:space="preserve"> are c</w:t>
      </w:r>
      <w:r w:rsidR="00F0602E">
        <w:t xml:space="preserve">ourses that articulate as </w:t>
      </w:r>
      <w:r w:rsidRPr="00A352D0">
        <w:t>Subject/Number from sending institution</w:t>
      </w:r>
      <w:r w:rsidR="00F0602E">
        <w:t xml:space="preserve"> to </w:t>
      </w:r>
      <w:r w:rsidR="00533C15">
        <w:t>general, elective, or departmental credit at the receiving institution (</w:t>
      </w:r>
      <w:r w:rsidRPr="00A352D0">
        <w:t>i.e. SOC 101 = SOCL GEN</w:t>
      </w:r>
      <w:r w:rsidR="00533C15">
        <w:t xml:space="preserve">).  </w:t>
      </w:r>
      <w:r w:rsidRPr="00A352D0">
        <w:t xml:space="preserve">General, Elective or Departmental Credit </w:t>
      </w:r>
      <w:r w:rsidR="00506B1A">
        <w:t>is</w:t>
      </w:r>
      <w:r w:rsidRPr="00A352D0">
        <w:t xml:space="preserve"> confusing to students because it is unclear how the course </w:t>
      </w:r>
      <w:r w:rsidR="00533C15" w:rsidRPr="00533C15">
        <w:t>applies</w:t>
      </w:r>
      <w:r w:rsidRPr="00A352D0">
        <w:t xml:space="preserve"> to program requirements. </w:t>
      </w:r>
    </w:p>
    <w:p w14:paraId="274479C4" w14:textId="10E014EA" w:rsidR="00F54300" w:rsidRDefault="00F54300" w:rsidP="00F54300">
      <w:pPr>
        <w:pStyle w:val="Heading1"/>
        <w:pBdr>
          <w:bottom w:val="single" w:sz="4" w:space="1" w:color="auto"/>
        </w:pBdr>
      </w:pPr>
      <w:r>
        <w:t>T</w:t>
      </w:r>
      <w:r w:rsidRPr="002E54DF">
        <w:t>ransfer</w:t>
      </w:r>
      <w:r>
        <w:t xml:space="preserve"> Credit Evaluation Resources</w:t>
      </w:r>
    </w:p>
    <w:p w14:paraId="09002A13" w14:textId="08CF86B8" w:rsidR="00F54300" w:rsidRPr="00D7064B" w:rsidRDefault="00F54300" w:rsidP="00F54300">
      <w:r w:rsidRPr="00D7064B">
        <w:t xml:space="preserve">Two recent publications focus on best practices in awarding transfer credit.  The American Association of Collegiate Registrars and Admissions Officers </w:t>
      </w:r>
      <w:r w:rsidR="00D7064B" w:rsidRPr="00D7064B">
        <w:t xml:space="preserve">(AACRAO) </w:t>
      </w:r>
      <w:r w:rsidRPr="00D7064B">
        <w:t xml:space="preserve">share several recommends in the 2017 publication, </w:t>
      </w:r>
      <w:hyperlink r:id="rId9" w:history="1">
        <w:r w:rsidRPr="00D7064B">
          <w:rPr>
            <w:rStyle w:val="Hyperlink"/>
          </w:rPr>
          <w:t>A Guide to Best Practices: Awarding Transfer and Prior Learning Credit</w:t>
        </w:r>
      </w:hyperlink>
      <w:r w:rsidRPr="00D7064B">
        <w:rPr>
          <w:rStyle w:val="Hyperlink"/>
        </w:rPr>
        <w:t>.</w:t>
      </w:r>
      <w:r w:rsidRPr="00D7064B">
        <w:t xml:space="preserve">  In addition, the </w:t>
      </w:r>
      <w:hyperlink r:id="rId10" w:history="1">
        <w:r w:rsidRPr="00D7064B">
          <w:rPr>
            <w:rStyle w:val="Hyperlink"/>
          </w:rPr>
          <w:t>British Columbia Council on Admissions and Transfer</w:t>
        </w:r>
      </w:hyperlink>
      <w:r w:rsidRPr="00D7064B">
        <w:t xml:space="preserve"> prepared a special report in 2014 on the topic learning outcomes and the articulation of credit between institutions.  </w:t>
      </w:r>
    </w:p>
    <w:p w14:paraId="15CD5A46" w14:textId="4356C350" w:rsidR="00AB069E" w:rsidRPr="00B66C85" w:rsidRDefault="003A05A7" w:rsidP="0083434E">
      <w:pPr>
        <w:pStyle w:val="Heading1"/>
        <w:pBdr>
          <w:bottom w:val="single" w:sz="4" w:space="1" w:color="auto"/>
        </w:pBdr>
        <w:rPr>
          <w:color w:val="2E74B5" w:themeColor="accent1" w:themeShade="BF"/>
        </w:rPr>
      </w:pPr>
      <w:r>
        <w:t>Course Equivalency Matrices</w:t>
      </w:r>
    </w:p>
    <w:p w14:paraId="6FE83712" w14:textId="30413B47" w:rsidR="00274469" w:rsidRPr="00D7064B" w:rsidRDefault="003A05A7" w:rsidP="008415F9">
      <w:r w:rsidRPr="00D7064B">
        <w:t xml:space="preserve">The course equivalency matrices </w:t>
      </w:r>
      <w:r w:rsidR="00C50DDC" w:rsidRPr="00D7064B">
        <w:t xml:space="preserve">report how courses transfer from community colleges to universities using data available in the </w:t>
      </w:r>
      <w:hyperlink r:id="rId11" w:history="1">
        <w:r w:rsidR="009306FF" w:rsidRPr="001C0380">
          <w:rPr>
            <w:rStyle w:val="Hyperlink"/>
          </w:rPr>
          <w:t>Michigan Transfer Network</w:t>
        </w:r>
      </w:hyperlink>
      <w:r w:rsidR="009306FF" w:rsidRPr="00D7064B">
        <w:t xml:space="preserve"> (MTN)</w:t>
      </w:r>
      <w:r w:rsidR="00C50DDC" w:rsidRPr="00D7064B">
        <w:t xml:space="preserve">. </w:t>
      </w:r>
      <w:r w:rsidR="001C0380">
        <w:t>S</w:t>
      </w:r>
      <w:r w:rsidR="008D6083" w:rsidRPr="00D7064B">
        <w:t xml:space="preserve">ecure users </w:t>
      </w:r>
      <w:r w:rsidR="001C0380">
        <w:t xml:space="preserve">with access to the back-end reports on the site </w:t>
      </w:r>
      <w:r w:rsidR="008D6083" w:rsidRPr="00D7064B">
        <w:t xml:space="preserve">will be able to </w:t>
      </w:r>
      <w:r w:rsidR="001C0380">
        <w:t>review and download</w:t>
      </w:r>
      <w:r w:rsidR="008D6083" w:rsidRPr="00D7064B">
        <w:t xml:space="preserve"> MiTransfer Pathways Course Equivalency matrices on-demand</w:t>
      </w:r>
      <w:r w:rsidR="00FF579D" w:rsidRPr="00D7064B">
        <w:t xml:space="preserve"> to assist with tracking equivalencies for MiTransfer Pathways participation</w:t>
      </w:r>
      <w:r w:rsidR="008D6083" w:rsidRPr="00D7064B">
        <w:t xml:space="preserve">. </w:t>
      </w:r>
    </w:p>
    <w:sdt>
      <w:sdtPr>
        <w:rPr>
          <w:rFonts w:asciiTheme="minorHAnsi" w:eastAsiaTheme="minorHAnsi" w:hAnsiTheme="minorHAnsi" w:cstheme="minorBidi"/>
          <w:b w:val="0"/>
          <w:smallCaps w:val="0"/>
          <w:sz w:val="22"/>
          <w:szCs w:val="22"/>
        </w:rPr>
        <w:id w:val="-844158529"/>
        <w:docPartObj>
          <w:docPartGallery w:val="Page Numbers (Top of Page)"/>
          <w:docPartUnique/>
        </w:docPartObj>
      </w:sdtPr>
      <w:sdtEndPr/>
      <w:sdtContent>
        <w:p w14:paraId="295882E8" w14:textId="1F3137BE" w:rsidR="00A2472B" w:rsidRPr="00B66C85" w:rsidRDefault="00A2472B" w:rsidP="00A2472B">
          <w:pPr>
            <w:pStyle w:val="Heading1"/>
            <w:pBdr>
              <w:bottom w:val="single" w:sz="4" w:space="1" w:color="auto"/>
            </w:pBdr>
            <w:rPr>
              <w:color w:val="2E74B5" w:themeColor="accent1" w:themeShade="BF"/>
            </w:rPr>
          </w:pPr>
          <w:r>
            <w:t>Using Th</w:t>
          </w:r>
          <w:r w:rsidR="00512BDD">
            <w:t>is Document</w:t>
          </w:r>
        </w:p>
        <w:p w14:paraId="4671F222" w14:textId="39274EC2" w:rsidR="008D6083" w:rsidRPr="00D7064B" w:rsidRDefault="00A2472B" w:rsidP="00A2472B">
          <w:r w:rsidRPr="00D7064B">
            <w:t>The next two pages of this worksheet are intended to help colleges and universities track course equivalencies for identified MiTransfer Pathways courses</w:t>
          </w:r>
          <w:proofErr w:type="gramStart"/>
          <w:r w:rsidRPr="00D7064B">
            <w:t xml:space="preserve">. </w:t>
          </w:r>
          <w:proofErr w:type="gramEnd"/>
          <w:r w:rsidRPr="00D7064B">
            <w:t xml:space="preserve">Institutions can use the </w:t>
          </w:r>
          <w:hyperlink r:id="rId12" w:history="1">
            <w:r w:rsidRPr="001C0380">
              <w:rPr>
                <w:rStyle w:val="Hyperlink"/>
              </w:rPr>
              <w:t>Michigan Transfer Network</w:t>
            </w:r>
          </w:hyperlink>
          <w:r w:rsidRPr="00D7064B">
            <w:t xml:space="preserve"> (MTN) to review equivalency for their courses in each pathway</w:t>
          </w:r>
          <w:proofErr w:type="gramStart"/>
          <w:r w:rsidRPr="00D7064B">
            <w:t xml:space="preserve">. </w:t>
          </w:r>
          <w:proofErr w:type="gramEnd"/>
          <w:r w:rsidRPr="00D7064B">
            <w:t>Universities should use the list on page 2 to look up and verify equivalency status with all community college partners</w:t>
          </w:r>
          <w:proofErr w:type="gramStart"/>
          <w:r w:rsidRPr="00D7064B">
            <w:t xml:space="preserve">. </w:t>
          </w:r>
          <w:proofErr w:type="gramEnd"/>
          <w:r w:rsidRPr="00D7064B">
            <w:t>Likewise, colleges can use the list on page 3 to verify equivalency status with their university partners</w:t>
          </w:r>
          <w:proofErr w:type="gramStart"/>
          <w:r w:rsidRPr="00D7064B">
            <w:t xml:space="preserve">. </w:t>
          </w:r>
          <w:proofErr w:type="gramEnd"/>
          <w:r w:rsidRPr="00D7064B">
            <w:t xml:space="preserve">These </w:t>
          </w:r>
          <w:r w:rsidR="00512BDD">
            <w:t>lists</w:t>
          </w:r>
          <w:r w:rsidRPr="00D7064B">
            <w:t xml:space="preserve"> do not need to be turned in</w:t>
          </w:r>
          <w:r w:rsidR="001C0380">
            <w:t xml:space="preserve">; they are offered as a </w:t>
          </w:r>
          <w:r w:rsidR="00FF579D" w:rsidRPr="00D7064B">
            <w:t>tool for self-tracking.</w:t>
          </w:r>
        </w:p>
        <w:p w14:paraId="745EC809" w14:textId="732D0990" w:rsidR="00A2472B" w:rsidRDefault="00A2472B" w:rsidP="00A2472B"/>
        <w:p w14:paraId="21D4C2BD" w14:textId="7A3F9603" w:rsidR="00A2472B" w:rsidRDefault="00A2472B" w:rsidP="00A2472B"/>
        <w:p w14:paraId="746AEA9F" w14:textId="5B7F1801" w:rsidR="00A2472B" w:rsidRDefault="00A2472B" w:rsidP="00A2472B"/>
        <w:p w14:paraId="35C8C29E" w14:textId="77777777" w:rsidR="00A2472B" w:rsidRDefault="00A2472B" w:rsidP="00A2472B"/>
        <w:p w14:paraId="59704F4E" w14:textId="449F5BAC" w:rsidR="00A2472B" w:rsidRDefault="00A2472B" w:rsidP="00A2472B"/>
        <w:p w14:paraId="308CA463" w14:textId="77777777" w:rsidR="00A2472B" w:rsidRDefault="00A2472B" w:rsidP="00A2472B"/>
        <w:p w14:paraId="7A06B11A" w14:textId="77777777" w:rsidR="00A2472B" w:rsidRDefault="00A2472B" w:rsidP="00A2472B"/>
        <w:p w14:paraId="466AFEFB" w14:textId="77777777" w:rsidR="00A2472B" w:rsidRDefault="00A2472B">
          <w:pPr>
            <w:rPr>
              <w:rFonts w:asciiTheme="majorHAnsi" w:eastAsiaTheme="majorEastAsia" w:hAnsiTheme="majorHAnsi" w:cstheme="majorBidi"/>
              <w:b/>
              <w:smallCaps/>
              <w:sz w:val="32"/>
              <w:szCs w:val="32"/>
            </w:rPr>
          </w:pPr>
          <w:r>
            <w:br w:type="page"/>
          </w:r>
        </w:p>
        <w:p w14:paraId="2325FD92" w14:textId="7CDD0739" w:rsidR="00737DB3" w:rsidRPr="00AD5669" w:rsidRDefault="00C12332" w:rsidP="00AD5669">
          <w:pPr>
            <w:pStyle w:val="Heading1"/>
            <w:pBdr>
              <w:bottom w:val="single" w:sz="4" w:space="1" w:color="auto"/>
            </w:pBdr>
            <w:rPr>
              <w:rFonts w:asciiTheme="minorHAnsi" w:eastAsiaTheme="minorHAnsi" w:hAnsiTheme="minorHAnsi" w:cstheme="minorBidi"/>
              <w:b w:val="0"/>
              <w:smallCaps w:val="0"/>
              <w:sz w:val="22"/>
              <w:szCs w:val="22"/>
            </w:rPr>
          </w:pPr>
          <w:r>
            <w:lastRenderedPageBreak/>
            <w:t>C</w:t>
          </w:r>
          <w:r w:rsidR="00737DB3">
            <w:t>ourse Equivalency Worksheet</w:t>
          </w:r>
          <w:r w:rsidR="00913E52">
            <w:t xml:space="preserve"> </w:t>
          </w:r>
          <w:r w:rsidR="001A05CD">
            <w:t>(Uni</w:t>
          </w:r>
          <w:r w:rsidR="00913E52">
            <w:t>versities)</w:t>
          </w:r>
        </w:p>
        <w:p w14:paraId="12C66E9C" w14:textId="77777777" w:rsidR="006C1813" w:rsidRDefault="006C1813" w:rsidP="00913E52"/>
        <w:tbl>
          <w:tblPr>
            <w:tblStyle w:val="TableGrid"/>
            <w:tblW w:w="10265" w:type="dxa"/>
            <w:jc w:val="center"/>
            <w:tblLook w:val="04A0" w:firstRow="1" w:lastRow="0" w:firstColumn="1" w:lastColumn="0" w:noHBand="0" w:noVBand="1"/>
          </w:tblPr>
          <w:tblGrid>
            <w:gridCol w:w="4145"/>
            <w:gridCol w:w="1020"/>
            <w:gridCol w:w="1020"/>
            <w:gridCol w:w="1020"/>
            <w:gridCol w:w="1020"/>
            <w:gridCol w:w="1020"/>
            <w:gridCol w:w="1020"/>
          </w:tblGrid>
          <w:tr w:rsidR="00357A1F" w:rsidRPr="00093EC8" w14:paraId="6D98FC50" w14:textId="77777777" w:rsidTr="00A2472B">
            <w:trPr>
              <w:trHeight w:val="1034"/>
              <w:jc w:val="center"/>
            </w:trPr>
            <w:tc>
              <w:tcPr>
                <w:tcW w:w="4145" w:type="dxa"/>
                <w:noWrap/>
                <w:hideMark/>
              </w:tcPr>
              <w:p w14:paraId="20B1828E" w14:textId="77777777" w:rsidR="00357A1F" w:rsidRPr="00093EC8" w:rsidRDefault="00357A1F" w:rsidP="00CE46DD">
                <w:pPr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20" w:type="dxa"/>
                <w:noWrap/>
                <w:textDirection w:val="tbRl"/>
                <w:hideMark/>
              </w:tcPr>
              <w:p w14:paraId="54EA56C7" w14:textId="77777777" w:rsidR="00357A1F" w:rsidRPr="00093EC8" w:rsidRDefault="00357A1F" w:rsidP="00A2472B">
                <w:pPr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093EC8">
                  <w:rPr>
                    <w:rFonts w:ascii="Calibri" w:eastAsia="Times New Roman" w:hAnsi="Calibri" w:cs="Times New Roman"/>
                    <w:color w:val="000000"/>
                  </w:rPr>
                  <w:t>Course 1</w:t>
                </w:r>
              </w:p>
            </w:tc>
            <w:tc>
              <w:tcPr>
                <w:tcW w:w="1020" w:type="dxa"/>
                <w:noWrap/>
                <w:textDirection w:val="tbRl"/>
                <w:hideMark/>
              </w:tcPr>
              <w:p w14:paraId="3D0FFE4A" w14:textId="77777777" w:rsidR="00357A1F" w:rsidRPr="00093EC8" w:rsidRDefault="00357A1F" w:rsidP="00A2472B">
                <w:pPr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093EC8">
                  <w:rPr>
                    <w:rFonts w:ascii="Calibri" w:eastAsia="Times New Roman" w:hAnsi="Calibri" w:cs="Times New Roman"/>
                    <w:color w:val="000000"/>
                  </w:rPr>
                  <w:t>Course 2</w:t>
                </w:r>
              </w:p>
            </w:tc>
            <w:tc>
              <w:tcPr>
                <w:tcW w:w="1020" w:type="dxa"/>
                <w:noWrap/>
                <w:textDirection w:val="tbRl"/>
                <w:hideMark/>
              </w:tcPr>
              <w:p w14:paraId="299B293D" w14:textId="77777777" w:rsidR="00357A1F" w:rsidRPr="00093EC8" w:rsidRDefault="00357A1F" w:rsidP="00A2472B">
                <w:pPr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093EC8">
                  <w:rPr>
                    <w:rFonts w:ascii="Calibri" w:eastAsia="Times New Roman" w:hAnsi="Calibri" w:cs="Times New Roman"/>
                    <w:color w:val="000000"/>
                  </w:rPr>
                  <w:t>Course 3</w:t>
                </w:r>
              </w:p>
            </w:tc>
            <w:tc>
              <w:tcPr>
                <w:tcW w:w="1020" w:type="dxa"/>
                <w:noWrap/>
                <w:textDirection w:val="tbRl"/>
                <w:hideMark/>
              </w:tcPr>
              <w:p w14:paraId="4089C028" w14:textId="77777777" w:rsidR="00357A1F" w:rsidRPr="00093EC8" w:rsidRDefault="00357A1F" w:rsidP="00A2472B">
                <w:pPr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093EC8">
                  <w:rPr>
                    <w:rFonts w:ascii="Calibri" w:eastAsia="Times New Roman" w:hAnsi="Calibri" w:cs="Times New Roman"/>
                    <w:color w:val="000000"/>
                  </w:rPr>
                  <w:t>Course 4</w:t>
                </w:r>
              </w:p>
            </w:tc>
            <w:tc>
              <w:tcPr>
                <w:tcW w:w="1020" w:type="dxa"/>
                <w:noWrap/>
                <w:textDirection w:val="tbRl"/>
                <w:hideMark/>
              </w:tcPr>
              <w:p w14:paraId="7F9DA4CE" w14:textId="77777777" w:rsidR="00357A1F" w:rsidRPr="00093EC8" w:rsidRDefault="00357A1F" w:rsidP="00A2472B">
                <w:pPr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093EC8">
                  <w:rPr>
                    <w:rFonts w:ascii="Calibri" w:eastAsia="Times New Roman" w:hAnsi="Calibri" w:cs="Times New Roman"/>
                    <w:color w:val="000000"/>
                  </w:rPr>
                  <w:t>Course 5</w:t>
                </w:r>
              </w:p>
            </w:tc>
            <w:tc>
              <w:tcPr>
                <w:tcW w:w="1020" w:type="dxa"/>
                <w:noWrap/>
                <w:textDirection w:val="tbRl"/>
                <w:hideMark/>
              </w:tcPr>
              <w:p w14:paraId="5DC870B7" w14:textId="77777777" w:rsidR="00357A1F" w:rsidRPr="00093EC8" w:rsidRDefault="00357A1F" w:rsidP="00A2472B">
                <w:pPr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093EC8">
                  <w:rPr>
                    <w:rFonts w:ascii="Calibri" w:eastAsia="Times New Roman" w:hAnsi="Calibri" w:cs="Times New Roman"/>
                    <w:color w:val="000000"/>
                  </w:rPr>
                  <w:t>Course 6</w:t>
                </w:r>
              </w:p>
            </w:tc>
          </w:tr>
          <w:tr w:rsidR="00730AE1" w:rsidRPr="00730AE1" w14:paraId="3E57B64C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66BD4937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Alpena Community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06AEB46D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74C78AF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BBECF87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22C54EB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9C2A446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B24D04C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2A75B939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45F94E69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Bay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0841F2F5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65124831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09685992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0340DA62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6A0698BF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A1ECB9B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1714C0BC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014F973A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Delta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6569458A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29DA530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4D6F083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04D5B5C6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5AB1ACA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602F7127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3791A3EC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12329E6D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Glen Oaks Community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3AF482EE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514FBB4D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AD166D0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E6244B4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AF29312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3700DFAC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5A32B201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694A77CA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Gogebic Community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68E25F2A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F69C5D8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7D7C56A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BBD3419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4846C96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746979A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37F4C04C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65E3C001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Grand Rapids Community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6D49D8ED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513F1E3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933599F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3201FF88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1B4C4EC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5EF35445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0B64BB9B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4381E64C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Henry Ford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696CBE69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0BD1A2F5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04653832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3A298991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668F4A61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22548C0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134312BD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327DD238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Jackson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1FF68EEE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50D5F91B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3BC266F0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BF3CEC5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3501D47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3801218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2574A371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0F32A56B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Kalamazoo Valley Community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2500BBA9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82C084E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3C475DDF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8E8FD12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3D4152D6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0E13B788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16A9122A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06AEE106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Kellogg Community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7DFB54C7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DF05FF0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99D4796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1D037AF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BF50785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22E5615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15FD828C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6F2A8103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Kirtland Community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4CA4534A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571C19D2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6C176241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58215711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215FFF8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10989EF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47415050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3985FDEA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Lake Michigan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646AD7AB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1E096E8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500A2FAD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31D3E12E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87279AE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AB2C521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7833F4E2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2FB2F849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Lansing Community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7FEBDF95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6ED59E2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A9DE53B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066FCFC5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0A82690C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804B8D7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bookmarkStart w:id="0" w:name="_GoBack"/>
            <w:bookmarkEnd w:id="0"/>
          </w:tr>
          <w:tr w:rsidR="00730AE1" w:rsidRPr="00730AE1" w14:paraId="24986703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7C4667B3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Macomb Community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340549EB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9F19B01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54D45F03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24DD446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ED567A2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BF58266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66796E85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05B49D68" w14:textId="1FF9907D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Mid Michigan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7D0764E9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FB73F73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5409DB8B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9384940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F5EE95B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72AF804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67DBD67A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5B91BF94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Monroe County Community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016F73C0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BB83E34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5637263C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CC2ACDE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36E935E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4186B5D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2F086022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77C004B9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Montcalm Community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1C821775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5CAACDC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0B564719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07F22F07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102C1B5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1CE365E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447F6F2C" w14:textId="77777777" w:rsidTr="00A2472B">
            <w:trPr>
              <w:trHeight w:val="317"/>
              <w:jc w:val="center"/>
            </w:trPr>
            <w:tc>
              <w:tcPr>
                <w:tcW w:w="4145" w:type="dxa"/>
                <w:noWrap/>
                <w:hideMark/>
              </w:tcPr>
              <w:p w14:paraId="6F5CC3BA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Mott Community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54CDAC6E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15CED85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511074C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951AB60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5D2867A0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21C5896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6E124FC3" w14:textId="77777777" w:rsidTr="00A2472B">
            <w:trPr>
              <w:trHeight w:val="360"/>
              <w:jc w:val="center"/>
            </w:trPr>
            <w:tc>
              <w:tcPr>
                <w:tcW w:w="4145" w:type="dxa"/>
                <w:noWrap/>
                <w:hideMark/>
              </w:tcPr>
              <w:p w14:paraId="67D8CE6A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Muskegon Community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037393C6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03F8CF8D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B3F05AC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3BC99331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3F209472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5FEBA47E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7C0A19C1" w14:textId="77777777" w:rsidTr="00A2472B">
            <w:trPr>
              <w:trHeight w:val="360"/>
              <w:jc w:val="center"/>
            </w:trPr>
            <w:tc>
              <w:tcPr>
                <w:tcW w:w="4145" w:type="dxa"/>
                <w:noWrap/>
                <w:hideMark/>
              </w:tcPr>
              <w:p w14:paraId="4F8ACB73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North Central Michigan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1AABCBED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BBB1212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62B1279C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1497B2A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3B06DEE3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1A18222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687E14F9" w14:textId="77777777" w:rsidTr="00A2472B">
            <w:trPr>
              <w:trHeight w:val="360"/>
              <w:jc w:val="center"/>
            </w:trPr>
            <w:tc>
              <w:tcPr>
                <w:tcW w:w="4145" w:type="dxa"/>
                <w:noWrap/>
                <w:hideMark/>
              </w:tcPr>
              <w:p w14:paraId="2A8B054A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Northwestern Michigan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3256AB3F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1F44EAD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547B24EE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3448F63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83D8309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AD8C157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53B60538" w14:textId="77777777" w:rsidTr="00A2472B">
            <w:trPr>
              <w:trHeight w:val="360"/>
              <w:jc w:val="center"/>
            </w:trPr>
            <w:tc>
              <w:tcPr>
                <w:tcW w:w="4145" w:type="dxa"/>
                <w:noWrap/>
                <w:hideMark/>
              </w:tcPr>
              <w:p w14:paraId="47F783BA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Oakland Community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7D85464A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CE68F46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34135D27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65E96A39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69CEA5E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0CD7F3F0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0ED050F2" w14:textId="77777777" w:rsidTr="00A2472B">
            <w:trPr>
              <w:trHeight w:val="360"/>
              <w:jc w:val="center"/>
            </w:trPr>
            <w:tc>
              <w:tcPr>
                <w:tcW w:w="4145" w:type="dxa"/>
                <w:noWrap/>
                <w:hideMark/>
              </w:tcPr>
              <w:p w14:paraId="08F316AE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Schoolcraft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70B9C2D0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17388D8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685593DE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36169DD7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CB2140E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6B8137B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638FBE87" w14:textId="77777777" w:rsidTr="00A2472B">
            <w:trPr>
              <w:trHeight w:val="360"/>
              <w:jc w:val="center"/>
            </w:trPr>
            <w:tc>
              <w:tcPr>
                <w:tcW w:w="4145" w:type="dxa"/>
                <w:noWrap/>
                <w:hideMark/>
              </w:tcPr>
              <w:p w14:paraId="68BDFFBF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Southwestern Michigan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5C092631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660AFD8A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EAD8BDF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2DBC3B3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3EF941F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9127142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180BC33A" w14:textId="77777777" w:rsidTr="00A2472B">
            <w:trPr>
              <w:trHeight w:val="360"/>
              <w:jc w:val="center"/>
            </w:trPr>
            <w:tc>
              <w:tcPr>
                <w:tcW w:w="4145" w:type="dxa"/>
                <w:noWrap/>
                <w:hideMark/>
              </w:tcPr>
              <w:p w14:paraId="1C8D1ACF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St. Clair County Community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6C4A41E6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7CF186D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5EE901CF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BF757EA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AF46D32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E0DF20E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5B1C32B6" w14:textId="77777777" w:rsidTr="00A2472B">
            <w:trPr>
              <w:trHeight w:val="360"/>
              <w:jc w:val="center"/>
            </w:trPr>
            <w:tc>
              <w:tcPr>
                <w:tcW w:w="4145" w:type="dxa"/>
                <w:noWrap/>
                <w:hideMark/>
              </w:tcPr>
              <w:p w14:paraId="164D4E22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Washtenaw Community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2EBB1B76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5B193EAE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286779E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BA7E382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62CFB67C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55989F18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1856FB8D" w14:textId="77777777" w:rsidTr="00A2472B">
            <w:trPr>
              <w:trHeight w:val="360"/>
              <w:jc w:val="center"/>
            </w:trPr>
            <w:tc>
              <w:tcPr>
                <w:tcW w:w="4145" w:type="dxa"/>
                <w:noWrap/>
                <w:hideMark/>
              </w:tcPr>
              <w:p w14:paraId="63D24589" w14:textId="07F6A859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 xml:space="preserve">Wayne </w:t>
                </w:r>
                <w:r w:rsidR="00C12332">
                  <w:rPr>
                    <w:rFonts w:ascii="Calibri" w:eastAsia="Times New Roman" w:hAnsi="Calibri" w:cs="Times New Roman"/>
                    <w:color w:val="000000"/>
                  </w:rPr>
                  <w:t>Co.</w:t>
                </w: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 xml:space="preserve"> Community College District</w:t>
                </w:r>
              </w:p>
            </w:tc>
            <w:tc>
              <w:tcPr>
                <w:tcW w:w="1020" w:type="dxa"/>
                <w:noWrap/>
                <w:hideMark/>
              </w:tcPr>
              <w:p w14:paraId="14C2754F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031B17B1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168996C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64D29FF2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F4F0457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1566805C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730AE1" w:rsidRPr="00730AE1" w14:paraId="31929895" w14:textId="77777777" w:rsidTr="00A2472B">
            <w:trPr>
              <w:trHeight w:val="360"/>
              <w:jc w:val="center"/>
            </w:trPr>
            <w:tc>
              <w:tcPr>
                <w:tcW w:w="4145" w:type="dxa"/>
                <w:noWrap/>
                <w:hideMark/>
              </w:tcPr>
              <w:p w14:paraId="5BFD178E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30AE1">
                  <w:rPr>
                    <w:rFonts w:ascii="Calibri" w:eastAsia="Times New Roman" w:hAnsi="Calibri" w:cs="Times New Roman"/>
                    <w:color w:val="000000"/>
                  </w:rPr>
                  <w:t>West Shore Community College</w:t>
                </w:r>
              </w:p>
            </w:tc>
            <w:tc>
              <w:tcPr>
                <w:tcW w:w="1020" w:type="dxa"/>
                <w:noWrap/>
                <w:hideMark/>
              </w:tcPr>
              <w:p w14:paraId="177D796E" w14:textId="77777777" w:rsidR="00730AE1" w:rsidRPr="00730AE1" w:rsidRDefault="00730AE1" w:rsidP="00730AE1">
                <w:pPr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43A83871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278A2BD5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7AC0499D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3DD517ED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0" w:type="dxa"/>
                <w:noWrap/>
                <w:hideMark/>
              </w:tcPr>
              <w:p w14:paraId="3303BDBC" w14:textId="77777777" w:rsidR="00730AE1" w:rsidRPr="00730AE1" w:rsidRDefault="00730AE1" w:rsidP="00730AE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  <w:p w14:paraId="65B5E007" w14:textId="2F14C38D" w:rsidR="003D62CC" w:rsidRDefault="006C7F66" w:rsidP="003D62CC"/>
      </w:sdtContent>
    </w:sdt>
    <w:p w14:paraId="27F794A9" w14:textId="77777777" w:rsidR="00357A1F" w:rsidRDefault="00357A1F">
      <w:pPr>
        <w:rPr>
          <w:rFonts w:asciiTheme="majorHAnsi" w:eastAsiaTheme="majorEastAsia" w:hAnsiTheme="majorHAnsi" w:cstheme="majorBidi"/>
          <w:b/>
          <w:smallCaps/>
          <w:sz w:val="32"/>
          <w:szCs w:val="32"/>
        </w:rPr>
      </w:pPr>
      <w:r>
        <w:br w:type="page"/>
      </w:r>
    </w:p>
    <w:p w14:paraId="206C0814" w14:textId="21146F1E" w:rsidR="00730AE1" w:rsidRDefault="00093EC8" w:rsidP="003D62CC">
      <w:pPr>
        <w:pStyle w:val="Heading1"/>
        <w:pBdr>
          <w:bottom w:val="single" w:sz="4" w:space="1" w:color="auto"/>
        </w:pBdr>
      </w:pPr>
      <w:r>
        <w:lastRenderedPageBreak/>
        <w:t>Course Equivalency Worksheet (community colleges)</w:t>
      </w:r>
      <w:r w:rsidR="00751E8B">
        <w:t xml:space="preserve"> </w:t>
      </w:r>
    </w:p>
    <w:p w14:paraId="5E220E24" w14:textId="77777777" w:rsidR="00913E52" w:rsidRPr="00B66C85" w:rsidRDefault="00913E52" w:rsidP="00B66C85"/>
    <w:tbl>
      <w:tblPr>
        <w:tblStyle w:val="TableGrid"/>
        <w:tblW w:w="10000" w:type="dxa"/>
        <w:jc w:val="center"/>
        <w:tblLook w:val="04A0" w:firstRow="1" w:lastRow="0" w:firstColumn="1" w:lastColumn="0" w:noHBand="0" w:noVBand="1"/>
      </w:tblPr>
      <w:tblGrid>
        <w:gridCol w:w="3880"/>
        <w:gridCol w:w="1020"/>
        <w:gridCol w:w="1020"/>
        <w:gridCol w:w="1020"/>
        <w:gridCol w:w="1020"/>
        <w:gridCol w:w="1020"/>
        <w:gridCol w:w="1020"/>
      </w:tblGrid>
      <w:tr w:rsidR="00093EC8" w:rsidRPr="00093EC8" w14:paraId="4693ECCA" w14:textId="77777777" w:rsidTr="00A2472B">
        <w:trPr>
          <w:cantSplit/>
          <w:trHeight w:val="1034"/>
          <w:jc w:val="center"/>
        </w:trPr>
        <w:tc>
          <w:tcPr>
            <w:tcW w:w="3880" w:type="dxa"/>
            <w:noWrap/>
            <w:hideMark/>
          </w:tcPr>
          <w:p w14:paraId="1EA8E8D4" w14:textId="423BB8E0" w:rsidR="00093EC8" w:rsidRPr="00093EC8" w:rsidRDefault="00093EC8" w:rsidP="00A527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noWrap/>
            <w:textDirection w:val="tbRl"/>
            <w:hideMark/>
          </w:tcPr>
          <w:p w14:paraId="50F8BF97" w14:textId="5703AC3D" w:rsidR="00093EC8" w:rsidRPr="00093EC8" w:rsidRDefault="00093EC8" w:rsidP="00A247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EC8">
              <w:rPr>
                <w:rFonts w:ascii="Calibri" w:eastAsia="Times New Roman" w:hAnsi="Calibri" w:cs="Times New Roman"/>
                <w:color w:val="000000"/>
              </w:rPr>
              <w:t>Course 1</w:t>
            </w:r>
          </w:p>
        </w:tc>
        <w:tc>
          <w:tcPr>
            <w:tcW w:w="1020" w:type="dxa"/>
            <w:noWrap/>
            <w:textDirection w:val="tbRl"/>
            <w:hideMark/>
          </w:tcPr>
          <w:p w14:paraId="71DAF4FF" w14:textId="42F38158" w:rsidR="00093EC8" w:rsidRPr="00093EC8" w:rsidRDefault="00093EC8" w:rsidP="00A247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EC8">
              <w:rPr>
                <w:rFonts w:ascii="Calibri" w:eastAsia="Times New Roman" w:hAnsi="Calibri" w:cs="Times New Roman"/>
                <w:color w:val="000000"/>
              </w:rPr>
              <w:t>Course 2</w:t>
            </w:r>
          </w:p>
        </w:tc>
        <w:tc>
          <w:tcPr>
            <w:tcW w:w="1020" w:type="dxa"/>
            <w:noWrap/>
            <w:textDirection w:val="tbRl"/>
            <w:hideMark/>
          </w:tcPr>
          <w:p w14:paraId="77F5BF1D" w14:textId="12B5D700" w:rsidR="00093EC8" w:rsidRPr="00093EC8" w:rsidRDefault="00093EC8" w:rsidP="00A247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EC8">
              <w:rPr>
                <w:rFonts w:ascii="Calibri" w:eastAsia="Times New Roman" w:hAnsi="Calibri" w:cs="Times New Roman"/>
                <w:color w:val="000000"/>
              </w:rPr>
              <w:t>Course 3</w:t>
            </w:r>
          </w:p>
        </w:tc>
        <w:tc>
          <w:tcPr>
            <w:tcW w:w="1020" w:type="dxa"/>
            <w:noWrap/>
            <w:textDirection w:val="tbRl"/>
            <w:hideMark/>
          </w:tcPr>
          <w:p w14:paraId="29B1ABB4" w14:textId="6505E028" w:rsidR="00093EC8" w:rsidRPr="00093EC8" w:rsidRDefault="00093EC8" w:rsidP="00A247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EC8">
              <w:rPr>
                <w:rFonts w:ascii="Calibri" w:eastAsia="Times New Roman" w:hAnsi="Calibri" w:cs="Times New Roman"/>
                <w:color w:val="000000"/>
              </w:rPr>
              <w:t>Course 4</w:t>
            </w:r>
          </w:p>
        </w:tc>
        <w:tc>
          <w:tcPr>
            <w:tcW w:w="1020" w:type="dxa"/>
            <w:noWrap/>
            <w:textDirection w:val="tbRl"/>
            <w:hideMark/>
          </w:tcPr>
          <w:p w14:paraId="2014EF16" w14:textId="2D755179" w:rsidR="00093EC8" w:rsidRPr="00093EC8" w:rsidRDefault="00093EC8" w:rsidP="00A247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EC8">
              <w:rPr>
                <w:rFonts w:ascii="Calibri" w:eastAsia="Times New Roman" w:hAnsi="Calibri" w:cs="Times New Roman"/>
                <w:color w:val="000000"/>
              </w:rPr>
              <w:t>Course 5</w:t>
            </w:r>
          </w:p>
        </w:tc>
        <w:tc>
          <w:tcPr>
            <w:tcW w:w="1020" w:type="dxa"/>
            <w:noWrap/>
            <w:textDirection w:val="tbRl"/>
            <w:hideMark/>
          </w:tcPr>
          <w:p w14:paraId="5E24D889" w14:textId="08C35ADD" w:rsidR="00093EC8" w:rsidRPr="00093EC8" w:rsidRDefault="00093EC8" w:rsidP="00A247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3EC8">
              <w:rPr>
                <w:rFonts w:ascii="Calibri" w:eastAsia="Times New Roman" w:hAnsi="Calibri" w:cs="Times New Roman"/>
                <w:color w:val="000000"/>
              </w:rPr>
              <w:t>Course 6</w:t>
            </w:r>
          </w:p>
        </w:tc>
      </w:tr>
      <w:tr w:rsidR="00357A1F" w:rsidRPr="00357A1F" w14:paraId="4875D4BC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07FAB39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Adrian College</w:t>
            </w:r>
          </w:p>
        </w:tc>
        <w:tc>
          <w:tcPr>
            <w:tcW w:w="1020" w:type="dxa"/>
            <w:noWrap/>
            <w:hideMark/>
          </w:tcPr>
          <w:p w14:paraId="37C73FA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1E1C72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DA2FD8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0E64CA9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E17D70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3A0BCC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28CC8E0E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6B6F18F8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Albion College</w:t>
            </w:r>
          </w:p>
        </w:tc>
        <w:tc>
          <w:tcPr>
            <w:tcW w:w="1020" w:type="dxa"/>
            <w:noWrap/>
            <w:hideMark/>
          </w:tcPr>
          <w:p w14:paraId="201DD8C8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4123FB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B22CE6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1563D5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47BCAE2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C23143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78836338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4A726868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Alma College</w:t>
            </w:r>
          </w:p>
        </w:tc>
        <w:tc>
          <w:tcPr>
            <w:tcW w:w="1020" w:type="dxa"/>
            <w:noWrap/>
            <w:hideMark/>
          </w:tcPr>
          <w:p w14:paraId="221C35E6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F4C8369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55A183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C60550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6AB570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636345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0ABA38D6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6382453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Andrews University</w:t>
            </w:r>
          </w:p>
        </w:tc>
        <w:tc>
          <w:tcPr>
            <w:tcW w:w="1020" w:type="dxa"/>
            <w:noWrap/>
            <w:hideMark/>
          </w:tcPr>
          <w:p w14:paraId="17A64226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044663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B1372C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427FC3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D047AD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FEA4DD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57D58D13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25230E89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Aquinas College</w:t>
            </w:r>
          </w:p>
        </w:tc>
        <w:tc>
          <w:tcPr>
            <w:tcW w:w="1020" w:type="dxa"/>
            <w:noWrap/>
            <w:hideMark/>
          </w:tcPr>
          <w:p w14:paraId="4CF1585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1D7C34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D6B25F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29BCD19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E17E83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633447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62549425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3691EC9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Baker College</w:t>
            </w:r>
          </w:p>
        </w:tc>
        <w:tc>
          <w:tcPr>
            <w:tcW w:w="1020" w:type="dxa"/>
            <w:noWrap/>
            <w:hideMark/>
          </w:tcPr>
          <w:p w14:paraId="172D484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F3A77DA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114B88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2F877E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11B9BE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B37AF8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0FBAB18D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61C436B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Calvin College</w:t>
            </w:r>
          </w:p>
        </w:tc>
        <w:tc>
          <w:tcPr>
            <w:tcW w:w="1020" w:type="dxa"/>
            <w:noWrap/>
            <w:hideMark/>
          </w:tcPr>
          <w:p w14:paraId="3F7309A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B4728D6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3F65E4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D8C9188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4B7D4E9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B6FEBE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754312C1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083A2898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Central Michigan University</w:t>
            </w:r>
          </w:p>
        </w:tc>
        <w:tc>
          <w:tcPr>
            <w:tcW w:w="1020" w:type="dxa"/>
            <w:noWrap/>
            <w:hideMark/>
          </w:tcPr>
          <w:p w14:paraId="3A3415C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B35375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3998EC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5063CC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B56A71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655D11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5B6F0285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2933672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Cleary University</w:t>
            </w:r>
          </w:p>
        </w:tc>
        <w:tc>
          <w:tcPr>
            <w:tcW w:w="1020" w:type="dxa"/>
            <w:noWrap/>
            <w:hideMark/>
          </w:tcPr>
          <w:p w14:paraId="340A2D4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578916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D6FF41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AF4DD7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EE20669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01CC99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46C36E40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4CC07F88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College for Creative Studies</w:t>
            </w:r>
          </w:p>
        </w:tc>
        <w:tc>
          <w:tcPr>
            <w:tcW w:w="1020" w:type="dxa"/>
            <w:noWrap/>
            <w:hideMark/>
          </w:tcPr>
          <w:p w14:paraId="0FE96EB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949CC1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F280F48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EDF377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45EAE5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F51F8D2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70EABA0E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52695E8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Concordia University Ann Arbor</w:t>
            </w:r>
          </w:p>
        </w:tc>
        <w:tc>
          <w:tcPr>
            <w:tcW w:w="1020" w:type="dxa"/>
            <w:noWrap/>
            <w:hideMark/>
          </w:tcPr>
          <w:p w14:paraId="2F5CFDC6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D805166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EBF7FE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39BD168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BBD7DF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F9637E2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417D49B1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77F0AD1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Cornerstone University</w:t>
            </w:r>
          </w:p>
        </w:tc>
        <w:tc>
          <w:tcPr>
            <w:tcW w:w="1020" w:type="dxa"/>
            <w:noWrap/>
            <w:hideMark/>
          </w:tcPr>
          <w:p w14:paraId="672D0486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513794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72132A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FA1D70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EC44DD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BEB007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72148A5B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7E80E62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Davenport University</w:t>
            </w:r>
          </w:p>
        </w:tc>
        <w:tc>
          <w:tcPr>
            <w:tcW w:w="1020" w:type="dxa"/>
            <w:noWrap/>
            <w:hideMark/>
          </w:tcPr>
          <w:p w14:paraId="320BA5F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3E9D49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C8E382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70CA44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B06300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76D2AE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4C0CD50C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190CB11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Eastern Michigan University</w:t>
            </w:r>
          </w:p>
        </w:tc>
        <w:tc>
          <w:tcPr>
            <w:tcW w:w="1020" w:type="dxa"/>
            <w:noWrap/>
            <w:hideMark/>
          </w:tcPr>
          <w:p w14:paraId="16F32FF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A8360A3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D1EFB2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895A18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F6328E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A26580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3DD15E82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2355FD89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Ferris State University</w:t>
            </w:r>
          </w:p>
        </w:tc>
        <w:tc>
          <w:tcPr>
            <w:tcW w:w="1020" w:type="dxa"/>
            <w:noWrap/>
            <w:hideMark/>
          </w:tcPr>
          <w:p w14:paraId="34EC31E2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4427F0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60FCD7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7492DB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D6C5C4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11D584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71118135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2423879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Finlandia University</w:t>
            </w:r>
          </w:p>
        </w:tc>
        <w:tc>
          <w:tcPr>
            <w:tcW w:w="1020" w:type="dxa"/>
            <w:noWrap/>
            <w:hideMark/>
          </w:tcPr>
          <w:p w14:paraId="0215174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E29CDF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4CF3CC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D5C343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54B7D6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C173323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04F8ACB9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4796B0A2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Grand Valley State University</w:t>
            </w:r>
          </w:p>
        </w:tc>
        <w:tc>
          <w:tcPr>
            <w:tcW w:w="1020" w:type="dxa"/>
            <w:noWrap/>
            <w:hideMark/>
          </w:tcPr>
          <w:p w14:paraId="7B0323B8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27E472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17B651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5E16A8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3C1D5E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E38D2B8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742CED5E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5306DA72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Hope College</w:t>
            </w:r>
          </w:p>
        </w:tc>
        <w:tc>
          <w:tcPr>
            <w:tcW w:w="1020" w:type="dxa"/>
            <w:noWrap/>
            <w:hideMark/>
          </w:tcPr>
          <w:p w14:paraId="48F72BD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D58DA0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4B1F87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A96D676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7AE3AC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21253F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594AD528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7A9B34E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Kalamazoo College</w:t>
            </w:r>
          </w:p>
        </w:tc>
        <w:tc>
          <w:tcPr>
            <w:tcW w:w="1020" w:type="dxa"/>
            <w:noWrap/>
            <w:hideMark/>
          </w:tcPr>
          <w:p w14:paraId="2F4917E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225A86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9B9F12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D64289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67561F9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03C6DB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2852FF90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26E0562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Kettering University</w:t>
            </w:r>
          </w:p>
        </w:tc>
        <w:tc>
          <w:tcPr>
            <w:tcW w:w="1020" w:type="dxa"/>
            <w:noWrap/>
            <w:hideMark/>
          </w:tcPr>
          <w:p w14:paraId="0755918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8BC917A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525E05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91B6BF3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C09321A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7D3EDB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14A5B55F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132303B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Lake Superior State University</w:t>
            </w:r>
          </w:p>
        </w:tc>
        <w:tc>
          <w:tcPr>
            <w:tcW w:w="1020" w:type="dxa"/>
            <w:noWrap/>
            <w:hideMark/>
          </w:tcPr>
          <w:p w14:paraId="41534DF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3E3C51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40BF51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9C5697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56CB1D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5F0096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059F2B67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342BC83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Lawrence Technological University</w:t>
            </w:r>
          </w:p>
        </w:tc>
        <w:tc>
          <w:tcPr>
            <w:tcW w:w="1020" w:type="dxa"/>
            <w:noWrap/>
            <w:hideMark/>
          </w:tcPr>
          <w:p w14:paraId="0EACC37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4D486A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83D7766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91A64A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493A039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E7690D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04E010CE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4650B0B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Madonna University</w:t>
            </w:r>
          </w:p>
        </w:tc>
        <w:tc>
          <w:tcPr>
            <w:tcW w:w="1020" w:type="dxa"/>
            <w:noWrap/>
            <w:hideMark/>
          </w:tcPr>
          <w:p w14:paraId="2098FD7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84121B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5B72EA3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F851628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FAFC86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5A9243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4A57B9A9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22F15DB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Marygrove College</w:t>
            </w:r>
          </w:p>
        </w:tc>
        <w:tc>
          <w:tcPr>
            <w:tcW w:w="1020" w:type="dxa"/>
            <w:noWrap/>
            <w:hideMark/>
          </w:tcPr>
          <w:p w14:paraId="20A610A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DD8925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8738AC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3A0708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D08C7C6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4E4D8A3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58B7EE91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227A5712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Michigan State University</w:t>
            </w:r>
          </w:p>
        </w:tc>
        <w:tc>
          <w:tcPr>
            <w:tcW w:w="1020" w:type="dxa"/>
            <w:noWrap/>
            <w:hideMark/>
          </w:tcPr>
          <w:p w14:paraId="4A6B1CB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A3A584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B59588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DA74BB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61005A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FB548D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60DE5D01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23480CB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Michigan Technological University</w:t>
            </w:r>
          </w:p>
        </w:tc>
        <w:tc>
          <w:tcPr>
            <w:tcW w:w="1020" w:type="dxa"/>
            <w:noWrap/>
            <w:hideMark/>
          </w:tcPr>
          <w:p w14:paraId="1E1B97E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39E4159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93DA61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D18662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C14357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E55139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66F1CA06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4DA2C99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Northern Michigan University</w:t>
            </w:r>
          </w:p>
        </w:tc>
        <w:tc>
          <w:tcPr>
            <w:tcW w:w="1020" w:type="dxa"/>
            <w:noWrap/>
            <w:hideMark/>
          </w:tcPr>
          <w:p w14:paraId="791C00EA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25BFC28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DE55AC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2D872B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4B68C76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A374F8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7381EE83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64E030E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Northwood University</w:t>
            </w:r>
          </w:p>
        </w:tc>
        <w:tc>
          <w:tcPr>
            <w:tcW w:w="1020" w:type="dxa"/>
            <w:noWrap/>
            <w:hideMark/>
          </w:tcPr>
          <w:p w14:paraId="07C1F1C2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664440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F93260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B27823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5BB220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714C978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35CD4DA6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5AA80369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Oakland University</w:t>
            </w:r>
          </w:p>
        </w:tc>
        <w:tc>
          <w:tcPr>
            <w:tcW w:w="1020" w:type="dxa"/>
            <w:noWrap/>
            <w:hideMark/>
          </w:tcPr>
          <w:p w14:paraId="7A97BBA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A0777D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B8E7D73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46FA402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9F3A4A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301C41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65853DB7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2028AD3A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Olivet College</w:t>
            </w:r>
          </w:p>
        </w:tc>
        <w:tc>
          <w:tcPr>
            <w:tcW w:w="1020" w:type="dxa"/>
            <w:noWrap/>
            <w:hideMark/>
          </w:tcPr>
          <w:p w14:paraId="538A4E5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BEBD88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1DFE34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51FFCD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733348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272B48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72359973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439D9409" w14:textId="46E6E64F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 xml:space="preserve">Rochester </w:t>
            </w:r>
            <w:r w:rsidR="000725FF">
              <w:rPr>
                <w:rFonts w:ascii="Calibri" w:eastAsia="Times New Roman" w:hAnsi="Calibri" w:cs="Calibri"/>
                <w:color w:val="000000"/>
              </w:rPr>
              <w:t>University</w:t>
            </w:r>
          </w:p>
        </w:tc>
        <w:tc>
          <w:tcPr>
            <w:tcW w:w="1020" w:type="dxa"/>
            <w:noWrap/>
            <w:hideMark/>
          </w:tcPr>
          <w:p w14:paraId="0F44EF18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2952CA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FDFFB8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EC2697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3544C1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3F752E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4C936C39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0D4CD01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Saginaw Valley State University</w:t>
            </w:r>
          </w:p>
        </w:tc>
        <w:tc>
          <w:tcPr>
            <w:tcW w:w="1020" w:type="dxa"/>
            <w:noWrap/>
            <w:hideMark/>
          </w:tcPr>
          <w:p w14:paraId="56D7807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468DA22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5850FF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CC2206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E6175D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BF3A1C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699211DB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4EABA172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Siena Heights University</w:t>
            </w:r>
          </w:p>
        </w:tc>
        <w:tc>
          <w:tcPr>
            <w:tcW w:w="1020" w:type="dxa"/>
            <w:noWrap/>
            <w:hideMark/>
          </w:tcPr>
          <w:p w14:paraId="295D6AF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FDDED7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FEC80C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F14CD6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C19899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ABF57A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69E8723E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23C3F24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Spring Arbor University</w:t>
            </w:r>
          </w:p>
        </w:tc>
        <w:tc>
          <w:tcPr>
            <w:tcW w:w="1020" w:type="dxa"/>
            <w:noWrap/>
            <w:hideMark/>
          </w:tcPr>
          <w:p w14:paraId="2F31461C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05B773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FFA3B8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DCB4246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9BA5E28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DBAFF7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6FAAEC31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15739CD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University of Detroit Mercy</w:t>
            </w:r>
          </w:p>
        </w:tc>
        <w:tc>
          <w:tcPr>
            <w:tcW w:w="1020" w:type="dxa"/>
            <w:noWrap/>
            <w:hideMark/>
          </w:tcPr>
          <w:p w14:paraId="0F541E8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922D1C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7D7228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35551D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B317E0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4BD5D2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786FB23B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0B3403E6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University of Michigan - Ann Arbor</w:t>
            </w:r>
          </w:p>
        </w:tc>
        <w:tc>
          <w:tcPr>
            <w:tcW w:w="1020" w:type="dxa"/>
            <w:noWrap/>
            <w:hideMark/>
          </w:tcPr>
          <w:p w14:paraId="658637D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919102A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18E0C0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1702A2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70F050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6417699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7AA9AC59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70157BCA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University of Michigan - Dearborn</w:t>
            </w:r>
          </w:p>
        </w:tc>
        <w:tc>
          <w:tcPr>
            <w:tcW w:w="1020" w:type="dxa"/>
            <w:noWrap/>
            <w:hideMark/>
          </w:tcPr>
          <w:p w14:paraId="033AE60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598495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E41F5B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37CEC1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A798E0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44BCAA3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591E7198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5A45CA1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University of Michigan - Flint</w:t>
            </w:r>
          </w:p>
        </w:tc>
        <w:tc>
          <w:tcPr>
            <w:tcW w:w="1020" w:type="dxa"/>
            <w:noWrap/>
            <w:hideMark/>
          </w:tcPr>
          <w:p w14:paraId="4265D23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73E0189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0CDCD26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243DF4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0D8A026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184A79A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5217151C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7FF8CC5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Walsh College</w:t>
            </w:r>
          </w:p>
        </w:tc>
        <w:tc>
          <w:tcPr>
            <w:tcW w:w="1020" w:type="dxa"/>
            <w:noWrap/>
            <w:hideMark/>
          </w:tcPr>
          <w:p w14:paraId="06C39E5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99E31C5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4E814F3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678ABE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E68BAC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2D14A2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47102F57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5A91A392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Wayne State University</w:t>
            </w:r>
          </w:p>
        </w:tc>
        <w:tc>
          <w:tcPr>
            <w:tcW w:w="1020" w:type="dxa"/>
            <w:noWrap/>
            <w:hideMark/>
          </w:tcPr>
          <w:p w14:paraId="203CEE0F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C857D0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8197B1D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494C2A7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9FC669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2F7CA14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7A1F" w:rsidRPr="00357A1F" w14:paraId="3188CA26" w14:textId="77777777" w:rsidTr="00357A1F">
        <w:trPr>
          <w:trHeight w:val="300"/>
          <w:jc w:val="center"/>
        </w:trPr>
        <w:tc>
          <w:tcPr>
            <w:tcW w:w="3880" w:type="dxa"/>
            <w:noWrap/>
            <w:hideMark/>
          </w:tcPr>
          <w:p w14:paraId="52F500C9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Western Michigan University</w:t>
            </w:r>
          </w:p>
        </w:tc>
        <w:tc>
          <w:tcPr>
            <w:tcW w:w="1020" w:type="dxa"/>
            <w:noWrap/>
            <w:hideMark/>
          </w:tcPr>
          <w:p w14:paraId="1C2BF33E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D1F4B4B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49857D0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36D78B1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9BBE5A3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8654EB2" w14:textId="77777777" w:rsidR="00357A1F" w:rsidRPr="00357A1F" w:rsidRDefault="00357A1F" w:rsidP="00357A1F">
            <w:pPr>
              <w:rPr>
                <w:rFonts w:ascii="Calibri" w:eastAsia="Times New Roman" w:hAnsi="Calibri" w:cs="Calibri"/>
                <w:color w:val="000000"/>
              </w:rPr>
            </w:pPr>
            <w:r w:rsidRPr="00357A1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291E11B" w14:textId="77777777" w:rsidR="008F11F1" w:rsidRPr="00737DB3" w:rsidRDefault="008F11F1" w:rsidP="00A2472B"/>
    <w:sectPr w:rsidR="008F11F1" w:rsidRPr="00737DB3" w:rsidSect="00357A1F">
      <w:head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288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231F8" w14:textId="77777777" w:rsidR="006C7F66" w:rsidRDefault="006C7F66" w:rsidP="00C32FA4">
      <w:r>
        <w:separator/>
      </w:r>
    </w:p>
  </w:endnote>
  <w:endnote w:type="continuationSeparator" w:id="0">
    <w:p w14:paraId="1F119801" w14:textId="77777777" w:rsidR="006C7F66" w:rsidRDefault="006C7F66" w:rsidP="00C3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F0CFB" w14:textId="6141B80C" w:rsidR="008F11F1" w:rsidRDefault="008F11F1" w:rsidP="00B66C85">
    <w:pPr>
      <w:pStyle w:val="Footer"/>
      <w:jc w:val="center"/>
    </w:pPr>
    <w:r w:rsidRPr="00F96590">
      <w:rPr>
        <w:noProof/>
      </w:rPr>
      <w:drawing>
        <wp:inline distT="0" distB="0" distL="0" distR="0" wp14:anchorId="313E8D69" wp14:editId="47C3C1F2">
          <wp:extent cx="2762250" cy="638493"/>
          <wp:effectExtent l="0" t="0" r="0" b="9525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092715F-2F26-4356-9648-5FEED065EF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092715F-2F26-4356-9648-5FEED065EFC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067" cy="680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40C22" w14:textId="77777777" w:rsidR="006C7F66" w:rsidRDefault="006C7F66" w:rsidP="00C32FA4">
      <w:r>
        <w:separator/>
      </w:r>
    </w:p>
  </w:footnote>
  <w:footnote w:type="continuationSeparator" w:id="0">
    <w:p w14:paraId="3C558EFE" w14:textId="77777777" w:rsidR="006C7F66" w:rsidRDefault="006C7F66" w:rsidP="00C3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3A6E" w14:textId="263759D7" w:rsidR="00F01658" w:rsidRPr="0083434E" w:rsidRDefault="0083434E" w:rsidP="008D6083">
    <w:pPr>
      <w:pStyle w:val="BalloonText"/>
      <w:jc w:val="right"/>
      <w:rPr>
        <w:rFonts w:ascii="Calibri" w:hAnsi="Calibri"/>
        <w:noProof/>
        <w:sz w:val="44"/>
        <w:szCs w:val="44"/>
      </w:rPr>
    </w:pPr>
    <w:r w:rsidRPr="0083434E">
      <w:rPr>
        <w:rFonts w:ascii="Calibri" w:hAnsi="Calibri"/>
        <w:noProof/>
        <w:sz w:val="44"/>
        <w:szCs w:val="44"/>
      </w:rPr>
      <w:t>MiTransfer Pathways</w:t>
    </w:r>
    <w:r w:rsidR="008D6083">
      <w:rPr>
        <w:rFonts w:ascii="Calibri" w:hAnsi="Calibri"/>
        <w:noProof/>
        <w:sz w:val="44"/>
        <w:szCs w:val="44"/>
      </w:rPr>
      <w:t xml:space="preserve"> </w:t>
    </w:r>
    <w:r w:rsidRPr="0083434E">
      <w:rPr>
        <w:rFonts w:ascii="Calibri" w:hAnsi="Calibri"/>
        <w:noProof/>
        <w:sz w:val="44"/>
        <w:szCs w:val="44"/>
      </w:rPr>
      <w:t>Course Equivalen</w:t>
    </w:r>
    <w:r w:rsidR="00751E8B">
      <w:rPr>
        <w:rFonts w:ascii="Calibri" w:hAnsi="Calibri"/>
        <w:noProof/>
        <w:sz w:val="44"/>
        <w:szCs w:val="44"/>
      </w:rPr>
      <w:t>c</w:t>
    </w:r>
    <w:r w:rsidR="00071653">
      <w:rPr>
        <w:rFonts w:ascii="Calibri" w:hAnsi="Calibri"/>
        <w:noProof/>
        <w:sz w:val="44"/>
        <w:szCs w:val="44"/>
      </w:rPr>
      <w:t xml:space="preserve">y </w:t>
    </w:r>
    <w:r w:rsidR="004C3213">
      <w:rPr>
        <w:rFonts w:ascii="Calibri" w:hAnsi="Calibri"/>
        <w:noProof/>
        <w:sz w:val="44"/>
        <w:szCs w:val="44"/>
      </w:rPr>
      <w:t>Resources</w:t>
    </w:r>
    <w:r w:rsidR="00F01658" w:rsidRPr="0083434E">
      <w:rPr>
        <w:rFonts w:ascii="Calibri" w:hAnsi="Calibri"/>
        <w:noProof/>
        <w:sz w:val="44"/>
        <w:szCs w:val="44"/>
      </w:rP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E1CF" w14:textId="77777777" w:rsidR="00385796" w:rsidRPr="0083434E" w:rsidRDefault="00385796" w:rsidP="00B66C85">
    <w:pPr>
      <w:pStyle w:val="Title"/>
      <w:jc w:val="right"/>
      <w:rPr>
        <w:noProof/>
        <w:sz w:val="44"/>
      </w:rPr>
    </w:pPr>
    <w:r w:rsidRPr="0083434E">
      <w:rPr>
        <w:noProof/>
        <w:sz w:val="44"/>
      </w:rPr>
      <w:t>MiTransfer Pathways</w:t>
    </w:r>
  </w:p>
  <w:p w14:paraId="3A5C9130" w14:textId="3D086A97" w:rsidR="00F01658" w:rsidRPr="0083434E" w:rsidRDefault="00385796" w:rsidP="00B66C85">
    <w:pPr>
      <w:pStyle w:val="Title"/>
      <w:pBdr>
        <w:bottom w:val="single" w:sz="4" w:space="1" w:color="auto"/>
      </w:pBdr>
      <w:jc w:val="right"/>
      <w:rPr>
        <w:sz w:val="44"/>
      </w:rPr>
    </w:pPr>
    <w:r w:rsidRPr="0083434E">
      <w:rPr>
        <w:noProof/>
        <w:sz w:val="44"/>
      </w:rPr>
      <w:t xml:space="preserve">Course Equivalency </w:t>
    </w:r>
    <w:r w:rsidR="0083434E">
      <w:rPr>
        <w:noProof/>
        <w:sz w:val="44"/>
      </w:rPr>
      <w:t>Worksheet</w:t>
    </w:r>
    <w:r w:rsidR="00F01658" w:rsidRPr="0083434E">
      <w:rPr>
        <w:noProof/>
        <w:sz w:val="4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EB21506"/>
    <w:lvl w:ilvl="0">
      <w:numFmt w:val="bullet"/>
      <w:lvlText w:val="*"/>
      <w:lvlJc w:val="left"/>
    </w:lvl>
  </w:abstractNum>
  <w:abstractNum w:abstractNumId="1" w15:restartNumberingAfterBreak="0">
    <w:nsid w:val="018A3386"/>
    <w:multiLevelType w:val="hybridMultilevel"/>
    <w:tmpl w:val="B946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2CB6"/>
    <w:multiLevelType w:val="multilevel"/>
    <w:tmpl w:val="022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A1789"/>
    <w:multiLevelType w:val="hybridMultilevel"/>
    <w:tmpl w:val="1BF61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513E"/>
    <w:multiLevelType w:val="hybridMultilevel"/>
    <w:tmpl w:val="040EDD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A26B7"/>
    <w:multiLevelType w:val="hybridMultilevel"/>
    <w:tmpl w:val="E5185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A03"/>
    <w:multiLevelType w:val="hybridMultilevel"/>
    <w:tmpl w:val="33BE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1A14"/>
    <w:multiLevelType w:val="hybridMultilevel"/>
    <w:tmpl w:val="49B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D0A02"/>
    <w:multiLevelType w:val="hybridMultilevel"/>
    <w:tmpl w:val="322E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D5F0F"/>
    <w:multiLevelType w:val="hybridMultilevel"/>
    <w:tmpl w:val="3A24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34681"/>
    <w:multiLevelType w:val="hybridMultilevel"/>
    <w:tmpl w:val="4D50719A"/>
    <w:lvl w:ilvl="0" w:tplc="23002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15D7B"/>
    <w:multiLevelType w:val="hybridMultilevel"/>
    <w:tmpl w:val="0F8CE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C2932"/>
    <w:multiLevelType w:val="hybridMultilevel"/>
    <w:tmpl w:val="4D3EA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57992"/>
    <w:multiLevelType w:val="hybridMultilevel"/>
    <w:tmpl w:val="470A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B18E6"/>
    <w:multiLevelType w:val="hybridMultilevel"/>
    <w:tmpl w:val="EE8C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C7537"/>
    <w:multiLevelType w:val="hybridMultilevel"/>
    <w:tmpl w:val="34CCDF84"/>
    <w:lvl w:ilvl="0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6" w15:restartNumberingAfterBreak="0">
    <w:nsid w:val="542D1825"/>
    <w:multiLevelType w:val="hybridMultilevel"/>
    <w:tmpl w:val="D04A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B0F31"/>
    <w:multiLevelType w:val="hybridMultilevel"/>
    <w:tmpl w:val="E6DC1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F7E57"/>
    <w:multiLevelType w:val="hybridMultilevel"/>
    <w:tmpl w:val="6A502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F23202"/>
    <w:multiLevelType w:val="hybridMultilevel"/>
    <w:tmpl w:val="688666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5036B"/>
    <w:multiLevelType w:val="hybridMultilevel"/>
    <w:tmpl w:val="9E86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E23E5"/>
    <w:multiLevelType w:val="hybridMultilevel"/>
    <w:tmpl w:val="60F4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918DE"/>
    <w:multiLevelType w:val="hybridMultilevel"/>
    <w:tmpl w:val="5512040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3" w15:restartNumberingAfterBreak="0">
    <w:nsid w:val="754E13B7"/>
    <w:multiLevelType w:val="hybridMultilevel"/>
    <w:tmpl w:val="333C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569EE"/>
    <w:multiLevelType w:val="hybridMultilevel"/>
    <w:tmpl w:val="534A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9"/>
  </w:num>
  <w:num w:numId="5">
    <w:abstractNumId w:val="13"/>
  </w:num>
  <w:num w:numId="6">
    <w:abstractNumId w:val="2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9"/>
  </w:num>
  <w:num w:numId="14">
    <w:abstractNumId w:val="15"/>
  </w:num>
  <w:num w:numId="15">
    <w:abstractNumId w:val="4"/>
  </w:num>
  <w:num w:numId="16">
    <w:abstractNumId w:val="16"/>
  </w:num>
  <w:num w:numId="17">
    <w:abstractNumId w:val="11"/>
  </w:num>
  <w:num w:numId="18">
    <w:abstractNumId w:val="12"/>
  </w:num>
  <w:num w:numId="19">
    <w:abstractNumId w:val="17"/>
  </w:num>
  <w:num w:numId="20">
    <w:abstractNumId w:val="8"/>
  </w:num>
  <w:num w:numId="21">
    <w:abstractNumId w:val="22"/>
  </w:num>
  <w:num w:numId="22">
    <w:abstractNumId w:val="20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F1"/>
    <w:rsid w:val="00005E05"/>
    <w:rsid w:val="00007DA1"/>
    <w:rsid w:val="000113B5"/>
    <w:rsid w:val="00014D26"/>
    <w:rsid w:val="00015A02"/>
    <w:rsid w:val="00024B16"/>
    <w:rsid w:val="00027E26"/>
    <w:rsid w:val="0003017C"/>
    <w:rsid w:val="00040592"/>
    <w:rsid w:val="00042837"/>
    <w:rsid w:val="000439D4"/>
    <w:rsid w:val="00044AA6"/>
    <w:rsid w:val="000502D1"/>
    <w:rsid w:val="00050B86"/>
    <w:rsid w:val="000567C3"/>
    <w:rsid w:val="00056E3D"/>
    <w:rsid w:val="00071653"/>
    <w:rsid w:val="000725FF"/>
    <w:rsid w:val="00085BF5"/>
    <w:rsid w:val="00093EC8"/>
    <w:rsid w:val="000943F0"/>
    <w:rsid w:val="0009626A"/>
    <w:rsid w:val="000A4073"/>
    <w:rsid w:val="000A57D1"/>
    <w:rsid w:val="000A79B2"/>
    <w:rsid w:val="000B136E"/>
    <w:rsid w:val="000B16F4"/>
    <w:rsid w:val="000C0AA8"/>
    <w:rsid w:val="000C27C3"/>
    <w:rsid w:val="000C3320"/>
    <w:rsid w:val="000C3B28"/>
    <w:rsid w:val="000D741E"/>
    <w:rsid w:val="000E1EE8"/>
    <w:rsid w:val="000E43A8"/>
    <w:rsid w:val="000F3433"/>
    <w:rsid w:val="000F5007"/>
    <w:rsid w:val="00100DDD"/>
    <w:rsid w:val="001010E7"/>
    <w:rsid w:val="001013FF"/>
    <w:rsid w:val="001029E2"/>
    <w:rsid w:val="00105D42"/>
    <w:rsid w:val="00107C26"/>
    <w:rsid w:val="001123A7"/>
    <w:rsid w:val="0011312B"/>
    <w:rsid w:val="001150FF"/>
    <w:rsid w:val="00115238"/>
    <w:rsid w:val="00121296"/>
    <w:rsid w:val="001214BB"/>
    <w:rsid w:val="00121D9D"/>
    <w:rsid w:val="001239AC"/>
    <w:rsid w:val="00130177"/>
    <w:rsid w:val="0013467B"/>
    <w:rsid w:val="00146CB7"/>
    <w:rsid w:val="001508D4"/>
    <w:rsid w:val="001510D9"/>
    <w:rsid w:val="00152E4E"/>
    <w:rsid w:val="00153F93"/>
    <w:rsid w:val="001547A7"/>
    <w:rsid w:val="00155A00"/>
    <w:rsid w:val="001600CB"/>
    <w:rsid w:val="001606E9"/>
    <w:rsid w:val="00161893"/>
    <w:rsid w:val="00166602"/>
    <w:rsid w:val="00170053"/>
    <w:rsid w:val="00172C0A"/>
    <w:rsid w:val="0017676E"/>
    <w:rsid w:val="00180907"/>
    <w:rsid w:val="00182A76"/>
    <w:rsid w:val="0019220E"/>
    <w:rsid w:val="00192AD6"/>
    <w:rsid w:val="00195616"/>
    <w:rsid w:val="00196D7B"/>
    <w:rsid w:val="00197DA5"/>
    <w:rsid w:val="001A037B"/>
    <w:rsid w:val="001A05CD"/>
    <w:rsid w:val="001A20F1"/>
    <w:rsid w:val="001A6D72"/>
    <w:rsid w:val="001A72C6"/>
    <w:rsid w:val="001B013D"/>
    <w:rsid w:val="001B0877"/>
    <w:rsid w:val="001B30FB"/>
    <w:rsid w:val="001B496F"/>
    <w:rsid w:val="001C0380"/>
    <w:rsid w:val="001C363D"/>
    <w:rsid w:val="001C5E82"/>
    <w:rsid w:val="001E6F18"/>
    <w:rsid w:val="001F4F8A"/>
    <w:rsid w:val="001F58D3"/>
    <w:rsid w:val="001F5D43"/>
    <w:rsid w:val="00204D4E"/>
    <w:rsid w:val="0021571F"/>
    <w:rsid w:val="002158A7"/>
    <w:rsid w:val="00220D22"/>
    <w:rsid w:val="00222429"/>
    <w:rsid w:val="00223DBD"/>
    <w:rsid w:val="00224843"/>
    <w:rsid w:val="002252CA"/>
    <w:rsid w:val="00231E53"/>
    <w:rsid w:val="00233B71"/>
    <w:rsid w:val="0023485B"/>
    <w:rsid w:val="00235DAE"/>
    <w:rsid w:val="00241151"/>
    <w:rsid w:val="00245608"/>
    <w:rsid w:val="00250A0A"/>
    <w:rsid w:val="002557ED"/>
    <w:rsid w:val="00270206"/>
    <w:rsid w:val="0027260D"/>
    <w:rsid w:val="00274469"/>
    <w:rsid w:val="0027657A"/>
    <w:rsid w:val="0028019F"/>
    <w:rsid w:val="00280B1D"/>
    <w:rsid w:val="00281B98"/>
    <w:rsid w:val="00282078"/>
    <w:rsid w:val="00285C16"/>
    <w:rsid w:val="002A031C"/>
    <w:rsid w:val="002A60F6"/>
    <w:rsid w:val="002B5C9B"/>
    <w:rsid w:val="002B5D24"/>
    <w:rsid w:val="002B676E"/>
    <w:rsid w:val="002C64D7"/>
    <w:rsid w:val="002C67F1"/>
    <w:rsid w:val="002C7EF5"/>
    <w:rsid w:val="002D1B44"/>
    <w:rsid w:val="002D5E61"/>
    <w:rsid w:val="002D68EC"/>
    <w:rsid w:val="002D696B"/>
    <w:rsid w:val="002E0B7E"/>
    <w:rsid w:val="002E54DF"/>
    <w:rsid w:val="002F09BC"/>
    <w:rsid w:val="002F5190"/>
    <w:rsid w:val="003027F0"/>
    <w:rsid w:val="003029A9"/>
    <w:rsid w:val="00312EC5"/>
    <w:rsid w:val="00314B3B"/>
    <w:rsid w:val="00317DE2"/>
    <w:rsid w:val="00336D2D"/>
    <w:rsid w:val="00336E0B"/>
    <w:rsid w:val="00345C73"/>
    <w:rsid w:val="00347E70"/>
    <w:rsid w:val="00352367"/>
    <w:rsid w:val="00357A1F"/>
    <w:rsid w:val="00364486"/>
    <w:rsid w:val="0037649A"/>
    <w:rsid w:val="00385796"/>
    <w:rsid w:val="00390B3C"/>
    <w:rsid w:val="00395764"/>
    <w:rsid w:val="003A05A7"/>
    <w:rsid w:val="003A432D"/>
    <w:rsid w:val="003A4A0C"/>
    <w:rsid w:val="003A6217"/>
    <w:rsid w:val="003B13BD"/>
    <w:rsid w:val="003B13F5"/>
    <w:rsid w:val="003C1617"/>
    <w:rsid w:val="003C23AF"/>
    <w:rsid w:val="003C3729"/>
    <w:rsid w:val="003C4A4A"/>
    <w:rsid w:val="003C4A7B"/>
    <w:rsid w:val="003D34BE"/>
    <w:rsid w:val="003D62CC"/>
    <w:rsid w:val="003E0D03"/>
    <w:rsid w:val="003E4B5F"/>
    <w:rsid w:val="004064E6"/>
    <w:rsid w:val="00410B8D"/>
    <w:rsid w:val="00413567"/>
    <w:rsid w:val="00421488"/>
    <w:rsid w:val="00422978"/>
    <w:rsid w:val="00424F3E"/>
    <w:rsid w:val="00425294"/>
    <w:rsid w:val="00431993"/>
    <w:rsid w:val="00432300"/>
    <w:rsid w:val="00433EF9"/>
    <w:rsid w:val="004347CB"/>
    <w:rsid w:val="00440A3C"/>
    <w:rsid w:val="004430C2"/>
    <w:rsid w:val="0044691A"/>
    <w:rsid w:val="00446A46"/>
    <w:rsid w:val="0044702C"/>
    <w:rsid w:val="004474C8"/>
    <w:rsid w:val="00447E4F"/>
    <w:rsid w:val="00453AAA"/>
    <w:rsid w:val="00462A1F"/>
    <w:rsid w:val="004655F6"/>
    <w:rsid w:val="0046759E"/>
    <w:rsid w:val="004704C3"/>
    <w:rsid w:val="00471D1B"/>
    <w:rsid w:val="0047308D"/>
    <w:rsid w:val="004759EE"/>
    <w:rsid w:val="00482711"/>
    <w:rsid w:val="00483C51"/>
    <w:rsid w:val="004952A5"/>
    <w:rsid w:val="004970BB"/>
    <w:rsid w:val="004A109E"/>
    <w:rsid w:val="004A27FB"/>
    <w:rsid w:val="004A34EA"/>
    <w:rsid w:val="004A37C1"/>
    <w:rsid w:val="004C3213"/>
    <w:rsid w:val="004C4AF6"/>
    <w:rsid w:val="004C4FB2"/>
    <w:rsid w:val="004D062D"/>
    <w:rsid w:val="004D61F7"/>
    <w:rsid w:val="004F04C6"/>
    <w:rsid w:val="004F7577"/>
    <w:rsid w:val="00502693"/>
    <w:rsid w:val="00503923"/>
    <w:rsid w:val="00505DDF"/>
    <w:rsid w:val="00506B1A"/>
    <w:rsid w:val="00512BDD"/>
    <w:rsid w:val="00512DFE"/>
    <w:rsid w:val="00517E9C"/>
    <w:rsid w:val="005253B3"/>
    <w:rsid w:val="00525B27"/>
    <w:rsid w:val="0053068B"/>
    <w:rsid w:val="00533C15"/>
    <w:rsid w:val="005405D1"/>
    <w:rsid w:val="00540E0D"/>
    <w:rsid w:val="005439DE"/>
    <w:rsid w:val="00543C15"/>
    <w:rsid w:val="0055096D"/>
    <w:rsid w:val="00554F17"/>
    <w:rsid w:val="00556B6D"/>
    <w:rsid w:val="00557B74"/>
    <w:rsid w:val="00562B2C"/>
    <w:rsid w:val="005647E1"/>
    <w:rsid w:val="005801E8"/>
    <w:rsid w:val="005824AE"/>
    <w:rsid w:val="00591985"/>
    <w:rsid w:val="00594983"/>
    <w:rsid w:val="005A3C75"/>
    <w:rsid w:val="005A482A"/>
    <w:rsid w:val="005A4EA5"/>
    <w:rsid w:val="005A7142"/>
    <w:rsid w:val="005B1440"/>
    <w:rsid w:val="005B3A45"/>
    <w:rsid w:val="005B3BED"/>
    <w:rsid w:val="005B7B77"/>
    <w:rsid w:val="005C203F"/>
    <w:rsid w:val="005C2EB8"/>
    <w:rsid w:val="005C4F2C"/>
    <w:rsid w:val="005D29A1"/>
    <w:rsid w:val="005D3BDA"/>
    <w:rsid w:val="005D4009"/>
    <w:rsid w:val="005D6A42"/>
    <w:rsid w:val="005E3A6B"/>
    <w:rsid w:val="005F32D2"/>
    <w:rsid w:val="006038AC"/>
    <w:rsid w:val="00604670"/>
    <w:rsid w:val="00610C28"/>
    <w:rsid w:val="006115AD"/>
    <w:rsid w:val="00612B3A"/>
    <w:rsid w:val="00613D16"/>
    <w:rsid w:val="00621715"/>
    <w:rsid w:val="0062252E"/>
    <w:rsid w:val="00625890"/>
    <w:rsid w:val="00627FEE"/>
    <w:rsid w:val="00633496"/>
    <w:rsid w:val="006438FD"/>
    <w:rsid w:val="006456D0"/>
    <w:rsid w:val="00645BB7"/>
    <w:rsid w:val="00650B98"/>
    <w:rsid w:val="0065406E"/>
    <w:rsid w:val="00654CA3"/>
    <w:rsid w:val="00660206"/>
    <w:rsid w:val="00661810"/>
    <w:rsid w:val="00661CEC"/>
    <w:rsid w:val="0066449A"/>
    <w:rsid w:val="0066788F"/>
    <w:rsid w:val="0067161C"/>
    <w:rsid w:val="006861D5"/>
    <w:rsid w:val="00693DFB"/>
    <w:rsid w:val="006A011B"/>
    <w:rsid w:val="006A1F88"/>
    <w:rsid w:val="006C0472"/>
    <w:rsid w:val="006C1813"/>
    <w:rsid w:val="006C2A49"/>
    <w:rsid w:val="006C2A62"/>
    <w:rsid w:val="006C7F66"/>
    <w:rsid w:val="006D53C1"/>
    <w:rsid w:val="006D5C2D"/>
    <w:rsid w:val="006E0D62"/>
    <w:rsid w:val="006F1AD2"/>
    <w:rsid w:val="006F3409"/>
    <w:rsid w:val="006F481D"/>
    <w:rsid w:val="00700FF8"/>
    <w:rsid w:val="007013AC"/>
    <w:rsid w:val="00703AB4"/>
    <w:rsid w:val="00704FFE"/>
    <w:rsid w:val="00717240"/>
    <w:rsid w:val="00730AE1"/>
    <w:rsid w:val="0073426B"/>
    <w:rsid w:val="00737DB3"/>
    <w:rsid w:val="0074156B"/>
    <w:rsid w:val="00746147"/>
    <w:rsid w:val="00746433"/>
    <w:rsid w:val="00751E8B"/>
    <w:rsid w:val="007618BD"/>
    <w:rsid w:val="00770E0C"/>
    <w:rsid w:val="00771305"/>
    <w:rsid w:val="007716EC"/>
    <w:rsid w:val="0078216A"/>
    <w:rsid w:val="00790D92"/>
    <w:rsid w:val="0079485C"/>
    <w:rsid w:val="00794F8A"/>
    <w:rsid w:val="007A10C7"/>
    <w:rsid w:val="007A3D8C"/>
    <w:rsid w:val="007A51C8"/>
    <w:rsid w:val="007A7709"/>
    <w:rsid w:val="007B13C3"/>
    <w:rsid w:val="007B56B9"/>
    <w:rsid w:val="007C5592"/>
    <w:rsid w:val="007D07BE"/>
    <w:rsid w:val="007D3498"/>
    <w:rsid w:val="007E3163"/>
    <w:rsid w:val="007F0D8A"/>
    <w:rsid w:val="007F1EB8"/>
    <w:rsid w:val="007F2409"/>
    <w:rsid w:val="007F5A60"/>
    <w:rsid w:val="007F7459"/>
    <w:rsid w:val="007F7FAC"/>
    <w:rsid w:val="00800221"/>
    <w:rsid w:val="00814726"/>
    <w:rsid w:val="00817177"/>
    <w:rsid w:val="0082277E"/>
    <w:rsid w:val="0083327B"/>
    <w:rsid w:val="0083434E"/>
    <w:rsid w:val="00836F05"/>
    <w:rsid w:val="008407CA"/>
    <w:rsid w:val="008415F9"/>
    <w:rsid w:val="008478DA"/>
    <w:rsid w:val="00851C86"/>
    <w:rsid w:val="008533DF"/>
    <w:rsid w:val="00854501"/>
    <w:rsid w:val="0086245F"/>
    <w:rsid w:val="00864D17"/>
    <w:rsid w:val="00867E65"/>
    <w:rsid w:val="008702F9"/>
    <w:rsid w:val="008707C6"/>
    <w:rsid w:val="00872687"/>
    <w:rsid w:val="00873138"/>
    <w:rsid w:val="00876D04"/>
    <w:rsid w:val="008773DF"/>
    <w:rsid w:val="00880D1B"/>
    <w:rsid w:val="00883A2F"/>
    <w:rsid w:val="00885446"/>
    <w:rsid w:val="008867C9"/>
    <w:rsid w:val="00893606"/>
    <w:rsid w:val="008A0CCB"/>
    <w:rsid w:val="008A3A24"/>
    <w:rsid w:val="008A7FD2"/>
    <w:rsid w:val="008B138C"/>
    <w:rsid w:val="008B302A"/>
    <w:rsid w:val="008B7846"/>
    <w:rsid w:val="008C31FE"/>
    <w:rsid w:val="008C6A2C"/>
    <w:rsid w:val="008C785A"/>
    <w:rsid w:val="008D6083"/>
    <w:rsid w:val="008D62A8"/>
    <w:rsid w:val="008E44A7"/>
    <w:rsid w:val="008E5A23"/>
    <w:rsid w:val="008E5CFB"/>
    <w:rsid w:val="008F11F1"/>
    <w:rsid w:val="008F37DA"/>
    <w:rsid w:val="008F4382"/>
    <w:rsid w:val="008F72C5"/>
    <w:rsid w:val="00902245"/>
    <w:rsid w:val="00902B3B"/>
    <w:rsid w:val="009039EB"/>
    <w:rsid w:val="00905AA6"/>
    <w:rsid w:val="00913404"/>
    <w:rsid w:val="00913B3E"/>
    <w:rsid w:val="00913E52"/>
    <w:rsid w:val="00914D7D"/>
    <w:rsid w:val="0091656B"/>
    <w:rsid w:val="0091771E"/>
    <w:rsid w:val="009306FA"/>
    <w:rsid w:val="009306FF"/>
    <w:rsid w:val="00932FA6"/>
    <w:rsid w:val="009374E3"/>
    <w:rsid w:val="00941519"/>
    <w:rsid w:val="00943CF9"/>
    <w:rsid w:val="009458BF"/>
    <w:rsid w:val="009506B7"/>
    <w:rsid w:val="009553A3"/>
    <w:rsid w:val="00956642"/>
    <w:rsid w:val="009571F2"/>
    <w:rsid w:val="009615C8"/>
    <w:rsid w:val="00962080"/>
    <w:rsid w:val="0096562E"/>
    <w:rsid w:val="00971A26"/>
    <w:rsid w:val="00974257"/>
    <w:rsid w:val="0097524E"/>
    <w:rsid w:val="00977CB0"/>
    <w:rsid w:val="00981739"/>
    <w:rsid w:val="0098484B"/>
    <w:rsid w:val="0099176F"/>
    <w:rsid w:val="009968C1"/>
    <w:rsid w:val="009A6238"/>
    <w:rsid w:val="009B0544"/>
    <w:rsid w:val="009C5333"/>
    <w:rsid w:val="009C7363"/>
    <w:rsid w:val="009D72EA"/>
    <w:rsid w:val="009E3995"/>
    <w:rsid w:val="009F1254"/>
    <w:rsid w:val="009F1C16"/>
    <w:rsid w:val="009F5257"/>
    <w:rsid w:val="00A04A19"/>
    <w:rsid w:val="00A0770A"/>
    <w:rsid w:val="00A102E4"/>
    <w:rsid w:val="00A11BF5"/>
    <w:rsid w:val="00A11D63"/>
    <w:rsid w:val="00A137C4"/>
    <w:rsid w:val="00A2472B"/>
    <w:rsid w:val="00A25750"/>
    <w:rsid w:val="00A352D0"/>
    <w:rsid w:val="00A401C0"/>
    <w:rsid w:val="00A44B64"/>
    <w:rsid w:val="00A44BAF"/>
    <w:rsid w:val="00A45EF7"/>
    <w:rsid w:val="00A4769C"/>
    <w:rsid w:val="00A51359"/>
    <w:rsid w:val="00A5273A"/>
    <w:rsid w:val="00A57023"/>
    <w:rsid w:val="00A638C4"/>
    <w:rsid w:val="00A66852"/>
    <w:rsid w:val="00A675AF"/>
    <w:rsid w:val="00A73C69"/>
    <w:rsid w:val="00A7606D"/>
    <w:rsid w:val="00A86064"/>
    <w:rsid w:val="00A91DB5"/>
    <w:rsid w:val="00A97058"/>
    <w:rsid w:val="00AA47E6"/>
    <w:rsid w:val="00AA52F1"/>
    <w:rsid w:val="00AB069E"/>
    <w:rsid w:val="00AB30CB"/>
    <w:rsid w:val="00AC0013"/>
    <w:rsid w:val="00AC4B7C"/>
    <w:rsid w:val="00AC7785"/>
    <w:rsid w:val="00AC7AA2"/>
    <w:rsid w:val="00AD2B69"/>
    <w:rsid w:val="00AD5669"/>
    <w:rsid w:val="00AE0D4B"/>
    <w:rsid w:val="00AE3939"/>
    <w:rsid w:val="00AE7887"/>
    <w:rsid w:val="00AE7A00"/>
    <w:rsid w:val="00AF3115"/>
    <w:rsid w:val="00AF392D"/>
    <w:rsid w:val="00AF467B"/>
    <w:rsid w:val="00B00FD7"/>
    <w:rsid w:val="00B038C3"/>
    <w:rsid w:val="00B05615"/>
    <w:rsid w:val="00B06AB0"/>
    <w:rsid w:val="00B12982"/>
    <w:rsid w:val="00B23C96"/>
    <w:rsid w:val="00B33057"/>
    <w:rsid w:val="00B403CD"/>
    <w:rsid w:val="00B41542"/>
    <w:rsid w:val="00B4414E"/>
    <w:rsid w:val="00B53941"/>
    <w:rsid w:val="00B53EBC"/>
    <w:rsid w:val="00B554F0"/>
    <w:rsid w:val="00B605B0"/>
    <w:rsid w:val="00B66C85"/>
    <w:rsid w:val="00B72404"/>
    <w:rsid w:val="00B77DFD"/>
    <w:rsid w:val="00B80875"/>
    <w:rsid w:val="00B84B29"/>
    <w:rsid w:val="00B8585F"/>
    <w:rsid w:val="00B9068E"/>
    <w:rsid w:val="00B96DF5"/>
    <w:rsid w:val="00BA26BC"/>
    <w:rsid w:val="00BA49B6"/>
    <w:rsid w:val="00BA5DFE"/>
    <w:rsid w:val="00BA74A7"/>
    <w:rsid w:val="00BB18A3"/>
    <w:rsid w:val="00BB28B0"/>
    <w:rsid w:val="00BB3F1E"/>
    <w:rsid w:val="00BC1EF9"/>
    <w:rsid w:val="00BC3839"/>
    <w:rsid w:val="00BC3D6E"/>
    <w:rsid w:val="00BC7314"/>
    <w:rsid w:val="00BC7B38"/>
    <w:rsid w:val="00BD2BC7"/>
    <w:rsid w:val="00BD6531"/>
    <w:rsid w:val="00BD7CEE"/>
    <w:rsid w:val="00BE0290"/>
    <w:rsid w:val="00BE1446"/>
    <w:rsid w:val="00BE18E4"/>
    <w:rsid w:val="00BF1D7B"/>
    <w:rsid w:val="00BF4B4C"/>
    <w:rsid w:val="00C0353D"/>
    <w:rsid w:val="00C040CA"/>
    <w:rsid w:val="00C073E9"/>
    <w:rsid w:val="00C12332"/>
    <w:rsid w:val="00C15CBE"/>
    <w:rsid w:val="00C178EB"/>
    <w:rsid w:val="00C2202D"/>
    <w:rsid w:val="00C31DDE"/>
    <w:rsid w:val="00C32FA4"/>
    <w:rsid w:val="00C378CD"/>
    <w:rsid w:val="00C445B4"/>
    <w:rsid w:val="00C50DDC"/>
    <w:rsid w:val="00C5248F"/>
    <w:rsid w:val="00C566C1"/>
    <w:rsid w:val="00C63EA1"/>
    <w:rsid w:val="00C67D07"/>
    <w:rsid w:val="00C7769C"/>
    <w:rsid w:val="00C80445"/>
    <w:rsid w:val="00C866BF"/>
    <w:rsid w:val="00C92FB6"/>
    <w:rsid w:val="00CA5920"/>
    <w:rsid w:val="00CA6C68"/>
    <w:rsid w:val="00CB022C"/>
    <w:rsid w:val="00CB1A23"/>
    <w:rsid w:val="00CB36FF"/>
    <w:rsid w:val="00CB4B19"/>
    <w:rsid w:val="00CB5192"/>
    <w:rsid w:val="00CB6221"/>
    <w:rsid w:val="00CC2733"/>
    <w:rsid w:val="00CC3807"/>
    <w:rsid w:val="00CD61B3"/>
    <w:rsid w:val="00CD6757"/>
    <w:rsid w:val="00CD7660"/>
    <w:rsid w:val="00CE28BE"/>
    <w:rsid w:val="00CE7133"/>
    <w:rsid w:val="00CF0923"/>
    <w:rsid w:val="00CF1FE1"/>
    <w:rsid w:val="00D01C31"/>
    <w:rsid w:val="00D03430"/>
    <w:rsid w:val="00D03E8D"/>
    <w:rsid w:val="00D04368"/>
    <w:rsid w:val="00D04B7E"/>
    <w:rsid w:val="00D10CBE"/>
    <w:rsid w:val="00D14C60"/>
    <w:rsid w:val="00D15E68"/>
    <w:rsid w:val="00D2721D"/>
    <w:rsid w:val="00D33BB9"/>
    <w:rsid w:val="00D348B8"/>
    <w:rsid w:val="00D34D34"/>
    <w:rsid w:val="00D35D7B"/>
    <w:rsid w:val="00D36A5A"/>
    <w:rsid w:val="00D36C54"/>
    <w:rsid w:val="00D37C9D"/>
    <w:rsid w:val="00D542BD"/>
    <w:rsid w:val="00D5630C"/>
    <w:rsid w:val="00D607CF"/>
    <w:rsid w:val="00D65939"/>
    <w:rsid w:val="00D65D65"/>
    <w:rsid w:val="00D66C40"/>
    <w:rsid w:val="00D7064B"/>
    <w:rsid w:val="00D811C4"/>
    <w:rsid w:val="00D815A2"/>
    <w:rsid w:val="00D81C90"/>
    <w:rsid w:val="00D81F0B"/>
    <w:rsid w:val="00D905CC"/>
    <w:rsid w:val="00D95A30"/>
    <w:rsid w:val="00D97D41"/>
    <w:rsid w:val="00DA079F"/>
    <w:rsid w:val="00DA2F8D"/>
    <w:rsid w:val="00DA3D7D"/>
    <w:rsid w:val="00DB5546"/>
    <w:rsid w:val="00DB56F2"/>
    <w:rsid w:val="00DC5858"/>
    <w:rsid w:val="00DC7549"/>
    <w:rsid w:val="00DD1BA3"/>
    <w:rsid w:val="00DD662E"/>
    <w:rsid w:val="00DE1E15"/>
    <w:rsid w:val="00DF176D"/>
    <w:rsid w:val="00E02237"/>
    <w:rsid w:val="00E11AEB"/>
    <w:rsid w:val="00E12B23"/>
    <w:rsid w:val="00E16551"/>
    <w:rsid w:val="00E25D54"/>
    <w:rsid w:val="00E3439F"/>
    <w:rsid w:val="00E4023F"/>
    <w:rsid w:val="00E45711"/>
    <w:rsid w:val="00E53023"/>
    <w:rsid w:val="00E579FC"/>
    <w:rsid w:val="00E70189"/>
    <w:rsid w:val="00E81804"/>
    <w:rsid w:val="00E81DB4"/>
    <w:rsid w:val="00E83798"/>
    <w:rsid w:val="00E86A4F"/>
    <w:rsid w:val="00E87569"/>
    <w:rsid w:val="00EA402B"/>
    <w:rsid w:val="00EA59B2"/>
    <w:rsid w:val="00EA5BBE"/>
    <w:rsid w:val="00EA609C"/>
    <w:rsid w:val="00EC0979"/>
    <w:rsid w:val="00EC48A1"/>
    <w:rsid w:val="00EE0145"/>
    <w:rsid w:val="00EE1CFF"/>
    <w:rsid w:val="00EE5DC1"/>
    <w:rsid w:val="00EF75A5"/>
    <w:rsid w:val="00F01658"/>
    <w:rsid w:val="00F0602E"/>
    <w:rsid w:val="00F14BF9"/>
    <w:rsid w:val="00F30018"/>
    <w:rsid w:val="00F32140"/>
    <w:rsid w:val="00F43016"/>
    <w:rsid w:val="00F438AF"/>
    <w:rsid w:val="00F43BF9"/>
    <w:rsid w:val="00F44F33"/>
    <w:rsid w:val="00F4593B"/>
    <w:rsid w:val="00F47A88"/>
    <w:rsid w:val="00F50462"/>
    <w:rsid w:val="00F54300"/>
    <w:rsid w:val="00F57291"/>
    <w:rsid w:val="00F6264A"/>
    <w:rsid w:val="00F74D28"/>
    <w:rsid w:val="00F76126"/>
    <w:rsid w:val="00F76BD3"/>
    <w:rsid w:val="00F9386A"/>
    <w:rsid w:val="00F9545E"/>
    <w:rsid w:val="00FA03C0"/>
    <w:rsid w:val="00FA44E1"/>
    <w:rsid w:val="00FA5C94"/>
    <w:rsid w:val="00FC14B8"/>
    <w:rsid w:val="00FC17EB"/>
    <w:rsid w:val="00FC56B5"/>
    <w:rsid w:val="00FD2CBC"/>
    <w:rsid w:val="00FD2CE4"/>
    <w:rsid w:val="00FE370E"/>
    <w:rsid w:val="00FE3E5B"/>
    <w:rsid w:val="00FE4B48"/>
    <w:rsid w:val="00FF0FEE"/>
    <w:rsid w:val="00FF1854"/>
    <w:rsid w:val="00FF579D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06C60"/>
  <w15:chartTrackingRefBased/>
  <w15:docId w15:val="{948BB038-A703-4E14-9C7C-35225E7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8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F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D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3D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11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2F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F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F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2F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59"/>
  </w:style>
  <w:style w:type="paragraph" w:styleId="Footer">
    <w:name w:val="footer"/>
    <w:basedOn w:val="Normal"/>
    <w:link w:val="FooterChar"/>
    <w:uiPriority w:val="99"/>
    <w:unhideWhenUsed/>
    <w:rsid w:val="00A51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59"/>
  </w:style>
  <w:style w:type="paragraph" w:styleId="BalloonText">
    <w:name w:val="Balloon Text"/>
    <w:basedOn w:val="Normal"/>
    <w:link w:val="BalloonTextChar"/>
    <w:uiPriority w:val="99"/>
    <w:semiHidden/>
    <w:unhideWhenUsed/>
    <w:rsid w:val="00A47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FE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F8A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1F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F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785A"/>
    <w:rPr>
      <w:rFonts w:asciiTheme="majorHAnsi" w:eastAsiaTheme="majorEastAsia" w:hAnsiTheme="majorHAnsi" w:cstheme="majorBidi"/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A3D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3D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8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D1B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C15"/>
    <w:rPr>
      <w:color w:val="808080"/>
      <w:shd w:val="clear" w:color="auto" w:fill="E6E6E6"/>
    </w:rPr>
  </w:style>
  <w:style w:type="table" w:styleId="GridTable4">
    <w:name w:val="Grid Table 4"/>
    <w:basedOn w:val="TableNormal"/>
    <w:uiPriority w:val="49"/>
    <w:rsid w:val="00D2721D"/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8F11F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o.gov/assets/690/686530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transfer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transfer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ccat.ca/pubs/Learning_Outcomes_and_Credit_Transfer_Feb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crao.org/docs/default-source/trending-topic-docs/transfer/guide-to-best-practices.pdf?sfvrsn=4820bb55_4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96C7-50C5-43AF-AC31-211A87C2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Orians</dc:creator>
  <cp:keywords/>
  <dc:description/>
  <cp:lastModifiedBy>Katie Giardello</cp:lastModifiedBy>
  <cp:revision>5</cp:revision>
  <cp:lastPrinted>2016-10-25T16:42:00Z</cp:lastPrinted>
  <dcterms:created xsi:type="dcterms:W3CDTF">2019-06-04T13:24:00Z</dcterms:created>
  <dcterms:modified xsi:type="dcterms:W3CDTF">2019-06-05T16:42:00Z</dcterms:modified>
</cp:coreProperties>
</file>